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8BB2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440" w:firstLineChars="200"/>
        <w:jc w:val="both"/>
        <w:rPr>
          <w:rFonts w:hint="eastAsia" w:ascii="华文中宋" w:hAnsi="华文中宋" w:eastAsia="华文中宋" w:cs="华文中宋"/>
          <w:b w:val="0"/>
          <w:bCs w:val="0"/>
          <w:color w:val="000000" w:themeColor="text1"/>
          <w:sz w:val="36"/>
          <w:szCs w:val="36"/>
          <w:lang w:val="en-US" w:eastAsia="zh-CN"/>
          <w14:textFill>
            <w14:solidFill>
              <w14:schemeClr w14:val="tx1"/>
            </w14:solidFill>
          </w14:textFill>
        </w:rPr>
      </w:pPr>
      <w:r>
        <w:rPr>
          <w:rFonts w:hint="eastAsia"/>
          <w:lang w:val="en-US" w:eastAsia="zh-CN"/>
        </w:rPr>
        <w:t xml:space="preserve"> </w:t>
      </w:r>
      <w:r>
        <w:rPr>
          <w:rFonts w:hint="eastAsia" w:ascii="华文中宋" w:hAnsi="华文中宋" w:eastAsia="华文中宋" w:cs="华文中宋"/>
          <w:b w:val="0"/>
          <w:bCs w:val="0"/>
          <w:color w:val="000000" w:themeColor="text1"/>
          <w:sz w:val="36"/>
          <w:szCs w:val="36"/>
          <w:lang w:val="en-US" w:eastAsia="zh-CN"/>
          <w14:textFill>
            <w14:solidFill>
              <w14:schemeClr w14:val="tx1"/>
            </w14:solidFill>
          </w14:textFill>
        </w:rPr>
        <w:t>数据中台接口更新开发及信创适配服务项目</w:t>
      </w:r>
      <w:bookmarkStart w:id="4" w:name="_GoBack"/>
      <w:r>
        <w:rPr>
          <w:rFonts w:hint="eastAsia" w:ascii="华文中宋" w:hAnsi="华文中宋" w:eastAsia="华文中宋" w:cs="华文中宋"/>
          <w:b w:val="0"/>
          <w:bCs w:val="0"/>
          <w:color w:val="000000" w:themeColor="text1"/>
          <w:sz w:val="36"/>
          <w:szCs w:val="36"/>
          <w:lang w:val="en-US" w:eastAsia="zh-CN"/>
          <w14:textFill>
            <w14:solidFill>
              <w14:schemeClr w14:val="tx1"/>
            </w14:solidFill>
          </w14:textFill>
        </w:rPr>
        <w:t>比选文件</w:t>
      </w:r>
      <w:bookmarkEnd w:id="4"/>
    </w:p>
    <w:p w14:paraId="6B4A76D0">
      <w:pPr>
        <w:ind w:left="462"/>
        <w:rPr>
          <w:color w:val="000000" w:themeColor="text1"/>
          <w14:textFill>
            <w14:solidFill>
              <w14:schemeClr w14:val="tx1"/>
            </w14:solidFill>
          </w14:textFill>
        </w:rPr>
      </w:pPr>
    </w:p>
    <w:p w14:paraId="7F98E05B">
      <w:pPr>
        <w:pStyle w:val="2"/>
        <w:numPr>
          <w:ilvl w:val="0"/>
          <w:numId w:val="1"/>
        </w:numPr>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项目介绍</w:t>
      </w:r>
    </w:p>
    <w:p w14:paraId="40C44F90">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广东省博物馆现行</w:t>
      </w:r>
      <w:r>
        <w:rPr>
          <w:rFonts w:hint="eastAsia" w:ascii="宋体" w:hAnsi="宋体" w:eastAsia="宋体" w:cs="宋体"/>
          <w:color w:val="000000" w:themeColor="text1"/>
          <w:sz w:val="28"/>
          <w:szCs w:val="28"/>
          <w:lang w:val="en-US" w:eastAsia="zh-CN"/>
          <w14:textFill>
            <w14:solidFill>
              <w14:schemeClr w14:val="tx1"/>
            </w14:solidFill>
          </w14:textFill>
        </w:rPr>
        <w:t>数据中台</w:t>
      </w:r>
      <w:r>
        <w:rPr>
          <w:rFonts w:hint="eastAsia" w:ascii="宋体" w:hAnsi="宋体" w:eastAsia="宋体" w:cs="宋体"/>
          <w:color w:val="000000" w:themeColor="text1"/>
          <w:sz w:val="28"/>
          <w:szCs w:val="28"/>
          <w14:textFill>
            <w14:solidFill>
              <w14:schemeClr w14:val="tx1"/>
            </w14:solidFill>
          </w14:textFill>
        </w:rPr>
        <w:t>系统在运营支撑与初步数据采集上已取得成效，但数据价值挖掘与跨业务整合亟待深化。为解决数据孤岛、提升决策效率，</w:t>
      </w:r>
      <w:r>
        <w:rPr>
          <w:rFonts w:hint="eastAsia" w:ascii="宋体" w:hAnsi="宋体" w:eastAsia="宋体" w:cs="宋体"/>
          <w:color w:val="000000" w:themeColor="text1"/>
          <w:sz w:val="28"/>
          <w:szCs w:val="28"/>
          <w:lang w:val="en-US" w:eastAsia="zh-CN"/>
          <w14:textFill>
            <w14:solidFill>
              <w14:schemeClr w14:val="tx1"/>
            </w14:solidFill>
          </w14:textFill>
        </w:rPr>
        <w:t>需对数据中台进行接口更新和数据查询优化</w:t>
      </w:r>
      <w:r>
        <w:rPr>
          <w:rFonts w:hint="eastAsia" w:ascii="宋体" w:hAnsi="宋体" w:eastAsia="宋体" w:cs="宋体"/>
          <w:color w:val="000000" w:themeColor="text1"/>
          <w:sz w:val="28"/>
          <w:szCs w:val="28"/>
          <w14:textFill>
            <w14:solidFill>
              <w14:schemeClr w14:val="tx1"/>
            </w14:solidFill>
          </w14:textFill>
        </w:rPr>
        <w:t>。本项目将在一期基础上，全面接入LBS等新数据源，构建统一标准的数据中心，并升级迭代可视化分析系统。项目核心是利用AI大模型技术，构建“AI问数”平台，支持员工通过自然语言交互即时获取数据、生成报告。这旨在彻底降低数据使用门槛，实现全员自助式分析，全面提升业务洞察与科学决策水平。</w:t>
      </w:r>
    </w:p>
    <w:p w14:paraId="33F5F78D">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p>
    <w:p w14:paraId="002C5BC1">
      <w:pPr>
        <w:pStyle w:val="2"/>
        <w:numPr>
          <w:ilvl w:val="0"/>
          <w:numId w:val="1"/>
        </w:numPr>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项目</w:t>
      </w:r>
      <w:r>
        <w:rPr>
          <w:rFonts w:hint="eastAsia" w:ascii="黑体" w:hAnsi="黑体" w:eastAsia="黑体" w:cs="黑体"/>
          <w:b w:val="0"/>
          <w:bCs w:val="0"/>
          <w:color w:val="000000" w:themeColor="text1"/>
          <w:sz w:val="32"/>
          <w:szCs w:val="32"/>
          <w:lang w:eastAsia="zh-CN"/>
          <w14:textFill>
            <w14:solidFill>
              <w14:schemeClr w14:val="tx1"/>
            </w14:solidFill>
          </w14:textFill>
        </w:rPr>
        <w:t>时间</w:t>
      </w:r>
      <w:r>
        <w:rPr>
          <w:rFonts w:hint="eastAsia" w:ascii="黑体" w:hAnsi="黑体" w:eastAsia="黑体" w:cs="黑体"/>
          <w:b w:val="0"/>
          <w:bCs w:val="0"/>
          <w:color w:val="000000" w:themeColor="text1"/>
          <w:sz w:val="32"/>
          <w:szCs w:val="32"/>
          <w14:textFill>
            <w14:solidFill>
              <w14:schemeClr w14:val="tx1"/>
            </w14:solidFill>
          </w14:textFill>
        </w:rPr>
        <w:t>及限价</w:t>
      </w:r>
    </w:p>
    <w:p w14:paraId="06C44A81">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项目实施时间要求：</w:t>
      </w:r>
      <w:r>
        <w:rPr>
          <w:rFonts w:hint="eastAsia" w:ascii="宋体" w:hAnsi="宋体" w:eastAsia="宋体" w:cs="宋体"/>
          <w:color w:val="000000" w:themeColor="text1"/>
          <w:sz w:val="28"/>
          <w:szCs w:val="28"/>
          <w:lang w:val="en-US" w:eastAsia="zh-CN"/>
          <w14:textFill>
            <w14:solidFill>
              <w14:schemeClr w14:val="tx1"/>
            </w14:solidFill>
          </w14:textFill>
        </w:rPr>
        <w:t>建设周期</w:t>
      </w:r>
      <w:r>
        <w:rPr>
          <w:rFonts w:hint="eastAsia" w:ascii="宋体" w:hAnsi="宋体" w:eastAsia="宋体" w:cs="宋体"/>
          <w:color w:val="000000" w:themeColor="text1"/>
          <w:sz w:val="28"/>
          <w:szCs w:val="28"/>
          <w14:textFill>
            <w14:solidFill>
              <w14:schemeClr w14:val="tx1"/>
            </w14:solidFill>
          </w14:textFill>
        </w:rPr>
        <w:t>不超过</w:t>
      </w:r>
      <w:r>
        <w:rPr>
          <w:rFonts w:hint="eastAsia" w:ascii="宋体" w:hAnsi="宋体" w:eastAsia="宋体" w:cs="宋体"/>
          <w:color w:val="000000" w:themeColor="text1"/>
          <w:sz w:val="28"/>
          <w:szCs w:val="28"/>
          <w:lang w:val="en-US" w:eastAsia="zh-CN"/>
          <w14:textFill>
            <w14:solidFill>
              <w14:schemeClr w14:val="tx1"/>
            </w14:solidFill>
          </w14:textFill>
        </w:rPr>
        <w:t>50个</w:t>
      </w:r>
      <w:r>
        <w:rPr>
          <w:rFonts w:hint="eastAsia" w:ascii="宋体" w:hAnsi="宋体" w:eastAsia="宋体" w:cs="宋体"/>
          <w:color w:val="000000" w:themeColor="text1"/>
          <w:sz w:val="28"/>
          <w:szCs w:val="28"/>
          <w14:textFill>
            <w14:solidFill>
              <w14:schemeClr w14:val="tx1"/>
            </w14:solidFill>
          </w14:textFill>
        </w:rPr>
        <w:t>工作日，试运行不少于20个自然日，建成后维保1年。</w:t>
      </w:r>
    </w:p>
    <w:p w14:paraId="24058BF3">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限价18.5</w:t>
      </w:r>
      <w:r>
        <w:rPr>
          <w:rFonts w:hint="eastAsia" w:ascii="宋体" w:hAnsi="宋体" w:eastAsia="宋体" w:cs="宋体"/>
          <w:color w:val="000000" w:themeColor="text1"/>
          <w:sz w:val="28"/>
          <w:szCs w:val="28"/>
          <w14:textFill>
            <w14:solidFill>
              <w14:schemeClr w14:val="tx1"/>
            </w14:solidFill>
          </w14:textFill>
        </w:rPr>
        <w:t>万。</w:t>
      </w:r>
    </w:p>
    <w:p w14:paraId="7C38E6DC">
      <w:pPr>
        <w:rPr>
          <w:color w:val="000000" w:themeColor="text1"/>
          <w14:textFill>
            <w14:solidFill>
              <w14:schemeClr w14:val="tx1"/>
            </w14:solidFill>
          </w14:textFill>
        </w:rPr>
      </w:pPr>
    </w:p>
    <w:p w14:paraId="10F7C2B8">
      <w:pPr>
        <w:pStyle w:val="2"/>
        <w:numPr>
          <w:ilvl w:val="0"/>
          <w:numId w:val="1"/>
        </w:numPr>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项目内容</w:t>
      </w:r>
    </w:p>
    <w:p w14:paraId="223B8EBE">
      <w:pPr>
        <w:pStyle w:val="3"/>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3.1 采购内容清单</w:t>
      </w:r>
    </w:p>
    <w:tbl>
      <w:tblPr>
        <w:tblStyle w:val="12"/>
        <w:tblW w:w="4996" w:type="pct"/>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autofit"/>
        <w:tblCellMar>
          <w:top w:w="0" w:type="dxa"/>
          <w:left w:w="108" w:type="dxa"/>
          <w:bottom w:w="0" w:type="dxa"/>
          <w:right w:w="108" w:type="dxa"/>
        </w:tblCellMar>
      </w:tblPr>
      <w:tblGrid>
        <w:gridCol w:w="807"/>
        <w:gridCol w:w="1407"/>
        <w:gridCol w:w="2197"/>
        <w:gridCol w:w="4869"/>
      </w:tblGrid>
      <w:tr w14:paraId="5A94B5E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887523D">
            <w:pPr>
              <w:snapToGrid/>
              <w:spacing w:before="0" w:after="0" w:line="240" w:lineRule="auto"/>
              <w:jc w:val="center"/>
              <w:rPr>
                <w:b/>
                <w:color w:val="000000" w:themeColor="text1"/>
                <w14:textFill>
                  <w14:solidFill>
                    <w14:schemeClr w14:val="tx1"/>
                  </w14:solidFill>
                </w14:textFill>
              </w:rPr>
            </w:pPr>
            <w:r>
              <w:rPr>
                <w:rFonts w:ascii="宋体" w:hAnsi="宋体" w:eastAsia="宋体" w:cs="宋体"/>
                <w:b/>
                <w:i w:val="0"/>
                <w:strike w:val="0"/>
                <w:color w:val="000000" w:themeColor="text1"/>
                <w:spacing w:val="0"/>
                <w:sz w:val="24"/>
                <w:u w:val="none"/>
                <w14:textFill>
                  <w14:solidFill>
                    <w14:schemeClr w14:val="tx1"/>
                  </w14:solidFill>
                </w14:textFill>
              </w:rPr>
              <w:t>序号</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3C843BA">
            <w:pPr>
              <w:snapToGrid/>
              <w:spacing w:before="0" w:after="0" w:line="240" w:lineRule="auto"/>
              <w:jc w:val="center"/>
              <w:rPr>
                <w:b/>
                <w:color w:val="000000" w:themeColor="text1"/>
                <w14:textFill>
                  <w14:solidFill>
                    <w14:schemeClr w14:val="tx1"/>
                  </w14:solidFill>
                </w14:textFill>
              </w:rPr>
            </w:pPr>
            <w:r>
              <w:rPr>
                <w:rFonts w:ascii="宋体" w:hAnsi="宋体" w:eastAsia="宋体" w:cs="宋体"/>
                <w:b/>
                <w:i w:val="0"/>
                <w:strike w:val="0"/>
                <w:color w:val="000000" w:themeColor="text1"/>
                <w:spacing w:val="0"/>
                <w:sz w:val="24"/>
                <w:u w:val="none"/>
                <w14:textFill>
                  <w14:solidFill>
                    <w14:schemeClr w14:val="tx1"/>
                  </w14:solidFill>
                </w14:textFill>
              </w:rPr>
              <w:t>模块</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CF65BB7">
            <w:pPr>
              <w:snapToGrid/>
              <w:spacing w:before="0" w:after="0" w:line="240" w:lineRule="auto"/>
              <w:jc w:val="center"/>
              <w:rPr>
                <w:b/>
                <w:color w:val="000000" w:themeColor="text1"/>
                <w14:textFill>
                  <w14:solidFill>
                    <w14:schemeClr w14:val="tx1"/>
                  </w14:solidFill>
                </w14:textFill>
              </w:rPr>
            </w:pPr>
            <w:r>
              <w:rPr>
                <w:rFonts w:ascii="宋体" w:hAnsi="宋体" w:eastAsia="宋体" w:cs="宋体"/>
                <w:b/>
                <w:i w:val="0"/>
                <w:strike w:val="0"/>
                <w:color w:val="000000" w:themeColor="text1"/>
                <w:spacing w:val="0"/>
                <w:sz w:val="24"/>
                <w:u w:val="none"/>
                <w14:textFill>
                  <w14:solidFill>
                    <w14:schemeClr w14:val="tx1"/>
                  </w14:solidFill>
                </w14:textFill>
              </w:rPr>
              <w:t>子模块</w:t>
            </w:r>
          </w:p>
        </w:tc>
        <w:tc>
          <w:tcPr>
            <w:tcW w:w="2622" w:type="pct"/>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72CFEA8">
            <w:pPr>
              <w:snapToGrid/>
              <w:spacing w:before="0" w:after="0" w:line="240" w:lineRule="auto"/>
              <w:jc w:val="center"/>
              <w:rPr>
                <w:b/>
                <w:color w:val="000000" w:themeColor="text1"/>
                <w14:textFill>
                  <w14:solidFill>
                    <w14:schemeClr w14:val="tx1"/>
                  </w14:solidFill>
                </w14:textFill>
              </w:rPr>
            </w:pPr>
            <w:r>
              <w:rPr>
                <w:rFonts w:ascii="宋体" w:hAnsi="宋体" w:eastAsia="宋体" w:cs="宋体"/>
                <w:b/>
                <w:i w:val="0"/>
                <w:strike w:val="0"/>
                <w:color w:val="000000" w:themeColor="text1"/>
                <w:spacing w:val="0"/>
                <w:sz w:val="24"/>
                <w:u w:val="none"/>
                <w14:textFill>
                  <w14:solidFill>
                    <w14:schemeClr w14:val="tx1"/>
                  </w14:solidFill>
                </w14:textFill>
              </w:rPr>
              <w:t>描述</w:t>
            </w:r>
          </w:p>
        </w:tc>
      </w:tr>
      <w:tr w14:paraId="032D93B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4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19ABFA66">
            <w:pPr>
              <w:snapToGrid/>
              <w:spacing w:before="0" w:after="0" w:line="240" w:lineRule="auto"/>
              <w:jc w:val="center"/>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1</w:t>
            </w:r>
          </w:p>
        </w:tc>
        <w:tc>
          <w:tcPr>
            <w:tcW w:w="758" w:type="pct"/>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14:paraId="13E1E367">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数据源对接与处理</w:t>
            </w: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6058565F">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对接</w:t>
            </w: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LBS大</w:t>
            </w:r>
            <w:r>
              <w:rPr>
                <w:rFonts w:ascii="宋体" w:hAnsi="宋体" w:eastAsia="宋体" w:cs="宋体"/>
                <w:i w:val="0"/>
                <w:strike w:val="0"/>
                <w:color w:val="000000" w:themeColor="text1"/>
                <w:spacing w:val="0"/>
                <w:sz w:val="24"/>
                <w:u w:val="none"/>
                <w14:textFill>
                  <w14:solidFill>
                    <w14:schemeClr w14:val="tx1"/>
                  </w14:solidFill>
                </w14:textFill>
              </w:rPr>
              <w:t>数据</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462DE472">
            <w:pPr>
              <w:snapToGrid/>
              <w:spacing w:before="0" w:after="0" w:line="240" w:lineRule="auto"/>
              <w:rPr>
                <w:color w:val="000000" w:themeColor="text1"/>
                <w14:textFill>
                  <w14:solidFill>
                    <w14:schemeClr w14:val="tx1"/>
                  </w14:solidFill>
                </w14:textFill>
              </w:rPr>
            </w:pPr>
            <w:r>
              <w:rPr>
                <w:rFonts w:hint="eastAsia" w:ascii="宋体" w:hAnsi="宋体" w:eastAsia="宋体" w:cs="宋体"/>
                <w:i w:val="0"/>
                <w:strike w:val="0"/>
                <w:color w:val="000000" w:themeColor="text1"/>
                <w:spacing w:val="0"/>
                <w:sz w:val="24"/>
                <w:u w:val="none"/>
                <w14:textFill>
                  <w14:solidFill>
                    <w14:schemeClr w14:val="tx1"/>
                  </w14:solidFill>
                </w14:textFill>
              </w:rPr>
              <w:t>提供LBS大数据深化对接服务。根据客情分析需求，配置和调用LBS相关服务接口，实现基础画像、消费画像、偏好画像等数据的抽取与传输，并将其统一纳入数据中台管理。</w:t>
            </w:r>
          </w:p>
        </w:tc>
      </w:tr>
      <w:tr w14:paraId="183548D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47378775">
            <w:pPr>
              <w:snapToGrid/>
              <w:spacing w:before="0" w:after="0" w:line="240" w:lineRule="auto"/>
              <w:jc w:val="center"/>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2</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7E2127DB">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14119507">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数据存储与管理</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72C65F26">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获取数据源后进行存储、管理和备份。系统会将数据分门别类地进行归档，并采用数据库管理工具进行存储，以确保数据的安全性与可访问性。</w:t>
            </w:r>
          </w:p>
        </w:tc>
      </w:tr>
      <w:tr w14:paraId="4D524D7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2A6BE4C9">
            <w:pPr>
              <w:snapToGrid/>
              <w:spacing w:before="0" w:after="0" w:line="240" w:lineRule="auto"/>
              <w:jc w:val="center"/>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3</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72BB6D7A">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2FCB3023">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数据清洗与预处理</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6DE02C95">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数据清洗、筛选和后处理。包括去除重复数据、修正数据格式问题、填补缺失值等，确保后续分析的数据质量。</w:t>
            </w:r>
          </w:p>
        </w:tc>
      </w:tr>
      <w:tr w14:paraId="4988658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1B4A021D">
            <w:pPr>
              <w:snapToGrid/>
              <w:spacing w:before="0" w:after="0" w:line="240" w:lineRule="auto"/>
              <w:jc w:val="center"/>
              <w:rPr>
                <w:color w:val="000000" w:themeColor="text1"/>
                <w14:textFill>
                  <w14:solidFill>
                    <w14:schemeClr w14:val="tx1"/>
                  </w14:solidFill>
                </w14:textFill>
              </w:rPr>
            </w:pP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4</w:t>
            </w:r>
          </w:p>
        </w:tc>
        <w:tc>
          <w:tcPr>
            <w:tcW w:w="758" w:type="pct"/>
            <w:tcBorders>
              <w:top w:val="single" w:color="000000" w:sz="4" w:space="0"/>
              <w:left w:val="single" w:color="000000" w:sz="4" w:space="0"/>
              <w:bottom w:val="single" w:color="000000" w:sz="4" w:space="0"/>
              <w:right w:val="single" w:color="000000" w:sz="4" w:space="0"/>
            </w:tcBorders>
            <w:tcMar>
              <w:bottom w:w="0" w:type="dxa"/>
            </w:tcMar>
            <w:vAlign w:val="center"/>
          </w:tcPr>
          <w:p w14:paraId="372DB44F">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管理后台</w:t>
            </w: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32EB4772">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文旅客情数据可视化展示迭代</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6D61AFE6">
            <w:pPr>
              <w:snapToGrid/>
              <w:spacing w:before="0" w:after="0" w:line="240" w:lineRule="auto"/>
              <w:rPr>
                <w:color w:val="000000" w:themeColor="text1"/>
                <w14:textFill>
                  <w14:solidFill>
                    <w14:schemeClr w14:val="tx1"/>
                  </w14:solidFill>
                </w14:textFill>
              </w:rPr>
            </w:pPr>
            <w:r>
              <w:rPr>
                <w:rFonts w:hint="eastAsia" w:ascii="宋体" w:hAnsi="宋体" w:eastAsia="宋体" w:cs="宋体"/>
                <w:i w:val="0"/>
                <w:strike w:val="0"/>
                <w:color w:val="000000" w:themeColor="text1"/>
                <w:spacing w:val="0"/>
                <w:sz w:val="24"/>
                <w:u w:val="none"/>
                <w14:textFill>
                  <w14:solidFill>
                    <w14:schemeClr w14:val="tx1"/>
                  </w14:solidFill>
                </w14:textFill>
              </w:rPr>
              <w:t>基于新接入数据，新增基础画像、消费画像、偏好画像分析模块，提供多维度、可交互的可视化界面，以支持精细化运营分析。</w:t>
            </w:r>
          </w:p>
        </w:tc>
      </w:tr>
      <w:tr w14:paraId="0189C77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649C1A1D">
            <w:pPr>
              <w:snapToGrid/>
              <w:spacing w:before="0" w:after="0" w:line="240" w:lineRule="auto"/>
              <w:jc w:val="center"/>
              <w:rPr>
                <w:rFonts w:hint="eastAsia" w:eastAsia="宋体"/>
                <w:color w:val="000000" w:themeColor="text1"/>
                <w:lang w:eastAsia="zh-CN"/>
                <w14:textFill>
                  <w14:solidFill>
                    <w14:schemeClr w14:val="tx1"/>
                  </w14:solidFill>
                </w14:textFill>
              </w:rPr>
            </w:pP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5</w:t>
            </w:r>
          </w:p>
        </w:tc>
        <w:tc>
          <w:tcPr>
            <w:tcW w:w="758" w:type="pct"/>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14:paraId="186717C1">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AI 问数</w:t>
            </w: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615864F4">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自然语言理解与意图识别</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1FC32928">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负责从用户输入的自然语言中识别出问题的意图及相关的实体信息。它将用户的查询转化为系统可以处理的结构化信息。</w:t>
            </w:r>
          </w:p>
        </w:tc>
      </w:tr>
      <w:tr w14:paraId="58D29DB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15F17CDB">
            <w:pPr>
              <w:snapToGrid/>
              <w:spacing w:before="0" w:after="0" w:line="240" w:lineRule="auto"/>
              <w:jc w:val="center"/>
              <w:rPr>
                <w:rFonts w:hint="eastAsia" w:eastAsia="宋体"/>
                <w:color w:val="000000" w:themeColor="text1"/>
                <w:lang w:eastAsia="zh-CN"/>
                <w14:textFill>
                  <w14:solidFill>
                    <w14:schemeClr w14:val="tx1"/>
                  </w14:solidFill>
                </w14:textFill>
              </w:rPr>
            </w:pP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6</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68424368">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4FBAEF1B">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思考过程展示</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72C53C92">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向用户展示AI在生成答案时的分析过程，以提升用户的信任感。思考过程帮助用户理解AI如何从问题到答案的每个步骤。</w:t>
            </w:r>
          </w:p>
        </w:tc>
      </w:tr>
      <w:tr w14:paraId="749D348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6F08A323">
            <w:pPr>
              <w:snapToGrid/>
              <w:spacing w:before="0" w:after="0" w:line="240" w:lineRule="auto"/>
              <w:jc w:val="center"/>
              <w:rPr>
                <w:rFonts w:hint="eastAsia" w:eastAsia="宋体"/>
                <w:color w:val="000000" w:themeColor="text1"/>
                <w:lang w:eastAsia="zh-CN"/>
                <w14:textFill>
                  <w14:solidFill>
                    <w14:schemeClr w14:val="tx1"/>
                  </w14:solidFill>
                </w14:textFill>
              </w:rPr>
            </w:pP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7</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081E7BB4">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071D96B7">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SQL生成与透明化</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3DDD4A76">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自动生成与用户提问相关的SQL查询语句，并提供透明化的展示，允许用户查看和修改SQL语句。</w:t>
            </w:r>
          </w:p>
        </w:tc>
      </w:tr>
      <w:tr w14:paraId="6DEC1AC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04EF5E3C">
            <w:pPr>
              <w:snapToGrid/>
              <w:spacing w:before="0" w:after="0" w:line="240" w:lineRule="auto"/>
              <w:jc w:val="center"/>
              <w:rPr>
                <w:rFonts w:hint="eastAsia" w:eastAsia="宋体"/>
                <w:color w:val="000000" w:themeColor="text1"/>
                <w:lang w:eastAsia="zh-CN"/>
                <w14:textFill>
                  <w14:solidFill>
                    <w14:schemeClr w14:val="tx1"/>
                  </w14:solidFill>
                </w14:textFill>
              </w:rPr>
            </w:pP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8</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31EBE19C">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05C77F3C">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数据结果呈现</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4A3F76ED">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展示从数据库查询出的数据结果，以便用户可以清晰地理解结果并进行进一步操作。</w:t>
            </w:r>
          </w:p>
        </w:tc>
      </w:tr>
      <w:tr w14:paraId="6E3A31D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011E435D">
            <w:pPr>
              <w:snapToGrid/>
              <w:spacing w:before="0" w:after="0" w:line="240" w:lineRule="auto"/>
              <w:jc w:val="center"/>
              <w:rPr>
                <w:rFonts w:hint="eastAsia" w:eastAsia="宋体"/>
                <w:color w:val="000000" w:themeColor="text1"/>
                <w:lang w:eastAsia="zh-CN"/>
                <w14:textFill>
                  <w14:solidFill>
                    <w14:schemeClr w14:val="tx1"/>
                  </w14:solidFill>
                </w14:textFill>
              </w:rPr>
            </w:pP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9</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0C95CC98">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0EBA005E">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智能可视化推荐与生成</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3FABBAFA">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根据查询结果的数据类型，自动推荐并生成最适合的图表或可视化效果。用户也可指定用哪种可视化图表展示结果。</w:t>
            </w:r>
          </w:p>
        </w:tc>
      </w:tr>
      <w:tr w14:paraId="0E0340D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5EF63128">
            <w:pPr>
              <w:snapToGrid/>
              <w:spacing w:before="0" w:after="0" w:line="240" w:lineRule="auto"/>
              <w:jc w:val="center"/>
              <w:rPr>
                <w:rFonts w:hint="default" w:eastAsia="宋体"/>
                <w:color w:val="000000" w:themeColor="text1"/>
                <w:lang w:val="en-US" w:eastAsia="zh-CN"/>
                <w14:textFill>
                  <w14:solidFill>
                    <w14:schemeClr w14:val="tx1"/>
                  </w14:solidFill>
                </w14:textFill>
              </w:rPr>
            </w:pP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10</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14510F1C">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2A4ED8ED">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多轮对话与上下文记忆</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0070DB3C">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支持用户的多轮对话，能够记住用户的查询上下文，进行更深层次的交互。</w:t>
            </w:r>
          </w:p>
        </w:tc>
      </w:tr>
      <w:tr w14:paraId="6D37EC1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2CCE1B63">
            <w:pPr>
              <w:snapToGrid/>
              <w:spacing w:before="0" w:after="0" w:line="240" w:lineRule="auto"/>
              <w:jc w:val="center"/>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1</w:t>
            </w: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1</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35C6564B">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74665318">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用户反馈与学习闭环</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0CDA9603">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通过用户的反馈，不断优化AI的表现，形成持续改进的闭环。</w:t>
            </w:r>
          </w:p>
        </w:tc>
      </w:tr>
      <w:tr w14:paraId="6800D2B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49FD7F7F">
            <w:pPr>
              <w:snapToGrid/>
              <w:spacing w:before="0" w:after="0" w:line="240" w:lineRule="auto"/>
              <w:jc w:val="center"/>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1</w:t>
            </w: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2</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4C05758B">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486C170D">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生成自定义报表数据集SQL</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17B1D259">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根据自然语言生成自定义报表数据集的SQL语句，这一过程还能极大提升问答系统的智能化水平和回答的准确性。</w:t>
            </w:r>
          </w:p>
        </w:tc>
      </w:tr>
      <w:tr w14:paraId="14273B4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3E59E8B2">
            <w:pPr>
              <w:snapToGrid/>
              <w:spacing w:before="0" w:after="0" w:line="240" w:lineRule="auto"/>
              <w:jc w:val="center"/>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1</w:t>
            </w: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3</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00EE3E5A">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15D04F38">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自动生成数据分析报告</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31F48D61">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根据数据分析模版自动填充分析数据，并且生成pdf格式的报告，模板数量最多为 2 个。</w:t>
            </w:r>
          </w:p>
        </w:tc>
      </w:tr>
      <w:tr w14:paraId="3C88C41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52E9C6F9">
            <w:pPr>
              <w:snapToGrid/>
              <w:spacing w:before="0" w:after="0" w:line="240" w:lineRule="auto"/>
              <w:jc w:val="center"/>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1</w:t>
            </w: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4</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4C54BE13">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4112035B">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配置问数大模型</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3765A2C7">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支持配置云端大模型或私有化部署的模型。</w:t>
            </w:r>
          </w:p>
        </w:tc>
      </w:tr>
      <w:tr w14:paraId="65A9B37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5FB4598A">
            <w:pPr>
              <w:snapToGrid/>
              <w:spacing w:before="0" w:after="0" w:line="240" w:lineRule="auto"/>
              <w:jc w:val="center"/>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1</w:t>
            </w: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5</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2C33B59A">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78F747C1">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配置提示词</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38709D8A">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支持配置大模型提示词，提升问数系统的精准度。</w:t>
            </w:r>
          </w:p>
        </w:tc>
      </w:tr>
      <w:tr w14:paraId="540B572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6769757A">
            <w:pPr>
              <w:snapToGrid/>
              <w:spacing w:before="0" w:after="0" w:line="240" w:lineRule="auto"/>
              <w:jc w:val="center"/>
              <w:rPr>
                <w:color w:val="000000" w:themeColor="text1"/>
                <w14:textFill>
                  <w14:solidFill>
                    <w14:schemeClr w14:val="tx1"/>
                  </w14:solidFill>
                </w14:textFill>
              </w:rPr>
            </w:pP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16</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03A95892">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17EBC5E5">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配置问数大模型训练集</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4B64A693">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支持单个或批量上传训练集，及在线编辑训练集内容，提升问数系统的精准度。</w:t>
            </w:r>
          </w:p>
        </w:tc>
      </w:tr>
      <w:tr w14:paraId="44076D3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tcMar>
              <w:bottom w:w="0" w:type="dxa"/>
            </w:tcMar>
            <w:vAlign w:val="center"/>
          </w:tcPr>
          <w:p w14:paraId="5FB639DC">
            <w:pPr>
              <w:snapToGrid/>
              <w:spacing w:before="0" w:after="0" w:line="240" w:lineRule="auto"/>
              <w:jc w:val="center"/>
              <w:rPr>
                <w:rFonts w:hint="default" w:eastAsia="宋体"/>
                <w:color w:val="000000" w:themeColor="text1"/>
                <w:lang w:val="en-US" w:eastAsia="zh-CN"/>
                <w14:textFill>
                  <w14:solidFill>
                    <w14:schemeClr w14:val="tx1"/>
                  </w14:solidFill>
                </w14:textFill>
              </w:rPr>
            </w:pPr>
            <w:r>
              <w:rPr>
                <w:rFonts w:hint="eastAsia" w:ascii="宋体" w:hAnsi="宋体" w:eastAsia="宋体" w:cs="宋体"/>
                <w:i w:val="0"/>
                <w:strike w:val="0"/>
                <w:color w:val="000000" w:themeColor="text1"/>
                <w:spacing w:val="0"/>
                <w:sz w:val="24"/>
                <w:u w:val="none"/>
                <w:lang w:val="en-US" w:eastAsia="zh-CN"/>
                <w14:textFill>
                  <w14:solidFill>
                    <w14:schemeClr w14:val="tx1"/>
                  </w14:solidFill>
                </w14:textFill>
              </w:rPr>
              <w:t>17</w:t>
            </w:r>
          </w:p>
        </w:tc>
        <w:tc>
          <w:tcPr>
            <w:tcW w:w="758"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6917BFCA">
            <w:pPr>
              <w:snapToGrid/>
              <w:spacing w:line="240" w:lineRule="auto"/>
              <w:rPr>
                <w:color w:val="000000" w:themeColor="text1"/>
                <w14:textFill>
                  <w14:solidFill>
                    <w14:schemeClr w14:val="tx1"/>
                  </w14:solidFill>
                </w14:textFill>
              </w:rPr>
            </w:pPr>
          </w:p>
        </w:tc>
        <w:tc>
          <w:tcPr>
            <w:tcW w:w="1183" w:type="pct"/>
            <w:tcBorders>
              <w:top w:val="single" w:color="000000" w:sz="4" w:space="0"/>
              <w:left w:val="single" w:color="000000" w:sz="4" w:space="0"/>
              <w:bottom w:val="single" w:color="000000" w:sz="4" w:space="0"/>
              <w:right w:val="single" w:color="000000" w:sz="4" w:space="0"/>
            </w:tcBorders>
            <w:tcMar>
              <w:bottom w:w="0" w:type="dxa"/>
            </w:tcMar>
            <w:vAlign w:val="center"/>
          </w:tcPr>
          <w:p w14:paraId="22139AC9">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配置多种问数数据源</w:t>
            </w:r>
          </w:p>
        </w:tc>
        <w:tc>
          <w:tcPr>
            <w:tcW w:w="2622" w:type="pct"/>
            <w:tcBorders>
              <w:top w:val="single" w:color="000000" w:sz="4" w:space="0"/>
              <w:left w:val="single" w:color="000000" w:sz="4" w:space="0"/>
              <w:bottom w:val="single" w:color="000000" w:sz="4" w:space="0"/>
              <w:right w:val="single" w:color="000000" w:sz="4" w:space="0"/>
            </w:tcBorders>
            <w:tcMar>
              <w:bottom w:w="0" w:type="dxa"/>
            </w:tcMar>
            <w:vAlign w:val="center"/>
          </w:tcPr>
          <w:p w14:paraId="6F350073">
            <w:pPr>
              <w:snapToGrid/>
              <w:spacing w:before="0" w:after="0" w:line="240" w:lineRule="auto"/>
              <w:rPr>
                <w:color w:val="000000" w:themeColor="text1"/>
                <w14:textFill>
                  <w14:solidFill>
                    <w14:schemeClr w14:val="tx1"/>
                  </w14:solidFill>
                </w14:textFill>
              </w:rPr>
            </w:pPr>
            <w:r>
              <w:rPr>
                <w:rFonts w:ascii="宋体" w:hAnsi="宋体" w:eastAsia="宋体" w:cs="宋体"/>
                <w:i w:val="0"/>
                <w:strike w:val="0"/>
                <w:color w:val="000000" w:themeColor="text1"/>
                <w:spacing w:val="0"/>
                <w:sz w:val="24"/>
                <w:u w:val="none"/>
                <w14:textFill>
                  <w14:solidFill>
                    <w14:schemeClr w14:val="tx1"/>
                  </w14:solidFill>
                </w14:textFill>
              </w:rPr>
              <w:t>支持连接多种常见的数据源，包括MySQL、达梦数据库。</w:t>
            </w:r>
          </w:p>
        </w:tc>
      </w:tr>
    </w:tbl>
    <w:p w14:paraId="109EACBA">
      <w:pPr>
        <w:rPr>
          <w:rFonts w:hint="eastAsia"/>
          <w:color w:val="000000" w:themeColor="text1"/>
          <w:lang w:val="en-US" w:eastAsia="zh-CN"/>
          <w14:textFill>
            <w14:solidFill>
              <w14:schemeClr w14:val="tx1"/>
            </w14:solidFill>
          </w14:textFill>
        </w:rPr>
      </w:pPr>
    </w:p>
    <w:p w14:paraId="53967DC3">
      <w:pPr>
        <w:pStyle w:val="3"/>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3.2 详细需求</w:t>
      </w:r>
    </w:p>
    <w:p w14:paraId="0515EF0A">
      <w:pPr>
        <w:numPr>
          <w:ilvl w:val="0"/>
          <w:numId w:val="2"/>
        </w:numPr>
        <w:spacing w:before="0" w:after="0" w:line="360" w:lineRule="auto"/>
        <w:ind w:left="0" w:firstLineChars="200"/>
        <w:rPr>
          <w:rFonts w:ascii="宋体" w:hAnsi="宋体" w:eastAsia="宋体" w:cs="宋体"/>
          <w:b/>
          <w:color w:val="000000" w:themeColor="text1"/>
          <w:sz w:val="28"/>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数据源对接与处理</w:t>
      </w:r>
    </w:p>
    <w:p w14:paraId="7FB2CDA9">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（1）对接</w:t>
      </w:r>
      <w:r>
        <w:rPr>
          <w:rFonts w:hint="eastAsia" w:ascii="宋体" w:hAnsi="宋体" w:eastAsia="宋体" w:cs="宋体"/>
          <w:color w:val="000000" w:themeColor="text1"/>
          <w:sz w:val="28"/>
          <w:lang w:val="en-US" w:eastAsia="zh-CN"/>
          <w14:textFill>
            <w14:solidFill>
              <w14:schemeClr w14:val="tx1"/>
            </w14:solidFill>
          </w14:textFill>
        </w:rPr>
        <w:t>LBS大</w:t>
      </w:r>
      <w:r>
        <w:rPr>
          <w:rFonts w:ascii="宋体" w:hAnsi="宋体" w:eastAsia="宋体" w:cs="宋体"/>
          <w:color w:val="000000" w:themeColor="text1"/>
          <w:sz w:val="28"/>
          <w14:textFill>
            <w14:solidFill>
              <w14:schemeClr w14:val="tx1"/>
            </w14:solidFill>
          </w14:textFill>
        </w:rPr>
        <w:t>数据</w:t>
      </w:r>
    </w:p>
    <w:p w14:paraId="251CF743">
      <w:pPr>
        <w:spacing w:before="0" w:after="0" w:line="360" w:lineRule="auto"/>
        <w:ind w:firstLineChars="200"/>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深化LBS大数据接口对接。要求调用LBS服务，获取并解析客群数据。数据内容须覆盖：基础画像，消费画像，偏好画像，以及人群数据。确保数据按约定周期完整、稳定地传输至数据中心。</w:t>
      </w:r>
    </w:p>
    <w:p w14:paraId="16DA19C0">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（2）数据存储与管理</w:t>
      </w:r>
    </w:p>
    <w:p w14:paraId="508BDC2A">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获取的订单数据应按一定规范存储，以便后续分析与管理。系统需要使用可靠的数据库管理工具，针对不同类别的数据进行适当归档，确保数据的安全存储。在存储过程中，要采用多层次的备份策略，确保即便出现硬件故障，数据也能快速恢复。此外，需对存储的数据进行权限管理，确保只有授权人员能够访问和修改数据，从而增强数据安全性。</w:t>
      </w:r>
    </w:p>
    <w:p w14:paraId="67263541">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（3）数据清洗与预处理</w:t>
      </w:r>
    </w:p>
    <w:p w14:paraId="719BD69D">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在获取票务订单数据后，需要进行数据清洗。数据清洗的目标是确保数据的质量，避免后续分析受到不准确信息的影响。具体操作包括去除重复数据、检查并修正数据格式问题（如日期格式、金额精度等），以及对缺失值进行合理填补（如通过插值法、均值填补等方式）。数据清洗后，还需要对数据进行标准化处理，确保不同来源的数据能够兼容，便于统一分析与展示。</w:t>
      </w:r>
    </w:p>
    <w:p w14:paraId="2A893DC0">
      <w:pPr>
        <w:numPr>
          <w:ilvl w:val="0"/>
          <w:numId w:val="2"/>
        </w:numPr>
        <w:spacing w:before="0" w:after="0" w:line="360" w:lineRule="auto"/>
        <w:ind w:left="0" w:firstLineChars="200"/>
        <w:rPr>
          <w:rFonts w:ascii="宋体" w:hAnsi="宋体" w:eastAsia="宋体" w:cs="宋体"/>
          <w:b/>
          <w:color w:val="000000" w:themeColor="text1"/>
          <w:sz w:val="28"/>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管理后台</w:t>
      </w:r>
    </w:p>
    <w:p w14:paraId="61A2DCFA">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w:t>
      </w:r>
      <w:r>
        <w:rPr>
          <w:rFonts w:hint="eastAsia" w:ascii="宋体" w:hAnsi="宋体" w:eastAsia="宋体" w:cs="宋体"/>
          <w:color w:val="000000" w:themeColor="text1"/>
          <w:sz w:val="28"/>
          <w:lang w:val="en-US" w:eastAsia="zh-CN"/>
          <w14:textFill>
            <w14:solidFill>
              <w14:schemeClr w14:val="tx1"/>
            </w14:solidFill>
          </w14:textFill>
        </w:rPr>
        <w:t>1</w:t>
      </w:r>
      <w:r>
        <w:rPr>
          <w:rFonts w:ascii="宋体" w:hAnsi="宋体" w:eastAsia="宋体" w:cs="宋体"/>
          <w:color w:val="000000" w:themeColor="text1"/>
          <w:sz w:val="28"/>
          <w14:textFill>
            <w14:solidFill>
              <w14:schemeClr w14:val="tx1"/>
            </w14:solidFill>
          </w14:textFill>
        </w:rPr>
        <w:t>）文旅客情数据可视化展示迭代</w:t>
      </w:r>
    </w:p>
    <w:p w14:paraId="5E9B3544">
      <w:pPr>
        <w:spacing w:before="0" w:after="0" w:line="360" w:lineRule="auto"/>
        <w:ind w:firstLineChars="200"/>
        <w:rPr>
          <w:rFonts w:hint="eastAsia" w:ascii="宋体" w:hAnsi="宋体" w:eastAsia="宋体" w:cs="宋体"/>
          <w:color w:val="000000" w:themeColor="text1"/>
          <w:sz w:val="28"/>
          <w:lang w:eastAsia="zh-CN"/>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新增</w:t>
      </w:r>
      <w:r>
        <w:rPr>
          <w:rFonts w:hint="eastAsia" w:ascii="宋体" w:hAnsi="宋体" w:eastAsia="宋体" w:cs="宋体"/>
          <w:color w:val="000000" w:themeColor="text1"/>
          <w:sz w:val="28"/>
          <w:lang w:val="en-US" w:eastAsia="zh-CN"/>
          <w14:textFill>
            <w14:solidFill>
              <w14:schemeClr w14:val="tx1"/>
            </w14:solidFill>
          </w14:textFill>
        </w:rPr>
        <w:t>第三方数据来源（基于LBS客情大数据）三</w:t>
      </w:r>
      <w:r>
        <w:rPr>
          <w:rFonts w:hint="eastAsia" w:ascii="宋体" w:hAnsi="宋体" w:eastAsia="宋体" w:cs="宋体"/>
          <w:color w:val="000000" w:themeColor="text1"/>
          <w:sz w:val="28"/>
          <w14:textFill>
            <w14:solidFill>
              <w14:schemeClr w14:val="tx1"/>
            </w14:solidFill>
          </w14:textFill>
        </w:rPr>
        <w:t>大分析模块</w:t>
      </w:r>
      <w:r>
        <w:rPr>
          <w:rFonts w:hint="eastAsia" w:ascii="宋体" w:hAnsi="宋体" w:eastAsia="宋体" w:cs="宋体"/>
          <w:color w:val="000000" w:themeColor="text1"/>
          <w:sz w:val="28"/>
          <w:lang w:eastAsia="zh-CN"/>
          <w14:textFill>
            <w14:solidFill>
              <w14:schemeClr w14:val="tx1"/>
            </w14:solidFill>
          </w14:textFill>
        </w:rPr>
        <w:t>。</w:t>
      </w:r>
    </w:p>
    <w:p w14:paraId="274D2A71">
      <w:pPr>
        <w:numPr>
          <w:ilvl w:val="0"/>
          <w:numId w:val="3"/>
        </w:numPr>
        <w:spacing w:before="0" w:after="0" w:line="360" w:lineRule="auto"/>
        <w:ind w:firstLineChars="200"/>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基础画像：可视化展示客群年龄、性别</w:t>
      </w:r>
      <w:r>
        <w:rPr>
          <w:rFonts w:hint="eastAsia" w:ascii="宋体" w:hAnsi="宋体" w:eastAsia="宋体" w:cs="宋体"/>
          <w:color w:val="000000" w:themeColor="text1"/>
          <w:sz w:val="28"/>
          <w:lang w:eastAsia="zh-CN"/>
          <w14:textFill>
            <w14:solidFill>
              <w14:schemeClr w14:val="tx1"/>
            </w14:solidFill>
          </w14:textFill>
        </w:rPr>
        <w:t>、</w:t>
      </w:r>
      <w:r>
        <w:rPr>
          <w:rFonts w:hint="eastAsia" w:ascii="宋体" w:hAnsi="宋体" w:eastAsia="宋体" w:cs="宋体"/>
          <w:color w:val="000000" w:themeColor="text1"/>
          <w:sz w:val="28"/>
          <w:lang w:val="en-US" w:eastAsia="zh-CN"/>
          <w14:textFill>
            <w14:solidFill>
              <w14:schemeClr w14:val="tx1"/>
            </w14:solidFill>
          </w14:textFill>
        </w:rPr>
        <w:t>学历、来源等</w:t>
      </w:r>
      <w:r>
        <w:rPr>
          <w:rFonts w:hint="eastAsia" w:ascii="宋体" w:hAnsi="宋体" w:eastAsia="宋体" w:cs="宋体"/>
          <w:color w:val="000000" w:themeColor="text1"/>
          <w:sz w:val="28"/>
          <w14:textFill>
            <w14:solidFill>
              <w14:schemeClr w14:val="tx1"/>
            </w14:solidFill>
          </w14:textFill>
        </w:rPr>
        <w:t>结构；</w:t>
      </w:r>
    </w:p>
    <w:p w14:paraId="0929639C">
      <w:pPr>
        <w:numPr>
          <w:ilvl w:val="0"/>
          <w:numId w:val="3"/>
        </w:numPr>
        <w:spacing w:before="0" w:after="0" w:line="360" w:lineRule="auto"/>
        <w:ind w:firstLineChars="200"/>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消费画像：</w:t>
      </w:r>
      <w:r>
        <w:rPr>
          <w:rFonts w:hint="eastAsia" w:ascii="宋体" w:hAnsi="宋体" w:eastAsia="宋体" w:cs="宋体"/>
          <w:color w:val="000000" w:themeColor="text1"/>
          <w:sz w:val="28"/>
          <w:lang w:val="en-US" w:eastAsia="zh-CN"/>
          <w14:textFill>
            <w14:solidFill>
              <w14:schemeClr w14:val="tx1"/>
            </w14:solidFill>
          </w14:textFill>
        </w:rPr>
        <w:t>可视化展示</w:t>
      </w:r>
      <w:r>
        <w:rPr>
          <w:rFonts w:hint="eastAsia" w:ascii="宋体" w:hAnsi="宋体" w:eastAsia="宋体" w:cs="宋体"/>
          <w:color w:val="000000" w:themeColor="text1"/>
          <w:sz w:val="28"/>
          <w14:textFill>
            <w14:solidFill>
              <w14:schemeClr w14:val="tx1"/>
            </w14:solidFill>
          </w14:textFill>
        </w:rPr>
        <w:t>客群消费能力与意愿等级；</w:t>
      </w:r>
    </w:p>
    <w:p w14:paraId="140C48D7">
      <w:pPr>
        <w:numPr>
          <w:ilvl w:val="0"/>
          <w:numId w:val="0"/>
        </w:numPr>
        <w:spacing w:before="0" w:after="0"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3) 偏好画像：</w:t>
      </w:r>
      <w:r>
        <w:rPr>
          <w:rFonts w:hint="eastAsia" w:ascii="宋体" w:hAnsi="宋体" w:eastAsia="宋体" w:cs="宋体"/>
          <w:color w:val="000000" w:themeColor="text1"/>
          <w:sz w:val="28"/>
          <w:lang w:val="en-US" w:eastAsia="zh-CN"/>
          <w14:textFill>
            <w14:solidFill>
              <w14:schemeClr w14:val="tx1"/>
            </w14:solidFill>
          </w14:textFill>
        </w:rPr>
        <w:t>可视化展示客群</w:t>
      </w:r>
      <w:r>
        <w:rPr>
          <w:rFonts w:hint="eastAsia" w:ascii="宋体" w:hAnsi="宋体" w:eastAsia="宋体" w:cs="宋体"/>
          <w:color w:val="000000" w:themeColor="text1"/>
          <w:sz w:val="28"/>
          <w14:textFill>
            <w14:solidFill>
              <w14:schemeClr w14:val="tx1"/>
            </w14:solidFill>
          </w14:textFill>
        </w:rPr>
        <w:t>文旅、休闲等兴趣标签分布。</w:t>
      </w:r>
    </w:p>
    <w:p w14:paraId="1A9D221A">
      <w:pPr>
        <w:spacing w:before="0" w:after="0" w:line="360" w:lineRule="auto"/>
        <w:ind w:firstLineChars="200"/>
        <w:rPr>
          <w:rFonts w:ascii="宋体" w:hAnsi="宋体" w:eastAsia="宋体" w:cs="宋体"/>
          <w:b/>
          <w:color w:val="000000" w:themeColor="text1"/>
          <w:sz w:val="28"/>
          <w14:textFill>
            <w14:solidFill>
              <w14:schemeClr w14:val="tx1"/>
            </w14:solidFill>
          </w14:textFill>
        </w:rPr>
      </w:pPr>
      <w:r>
        <w:rPr>
          <w:rFonts w:ascii="宋体" w:hAnsi="宋体" w:eastAsia="宋体" w:cs="宋体"/>
          <w:b/>
          <w:color w:val="000000" w:themeColor="text1"/>
          <w:sz w:val="28"/>
          <w14:textFill>
            <w14:solidFill>
              <w14:schemeClr w14:val="tx1"/>
            </w14:solidFill>
          </w14:textFill>
        </w:rPr>
        <w:t>3. AI 问数</w:t>
      </w:r>
    </w:p>
    <w:p w14:paraId="56BDF5C4">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(1) 自然语言理解与意图识别</w:t>
      </w:r>
    </w:p>
    <w:p w14:paraId="350DB6B9">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 xml:space="preserve"> AI问数系统需要能够准确识别用户通过自然语言输入的查询意图，并提取相关实体信息。用户可能提出各种类型的问题，系统应具备强大的自然语言处理能力，能够从复杂的语句中提取出关键的查询要求，如时间、地点、数值等维度。通过将用户的自然语言转换为系统能够理解并处理的结构化信息，确保问数系统能够处理并返回精准的数据。该功能应支持多种语言和复杂的句式表达，能够应对不规则输入并进行有效解析。</w:t>
      </w:r>
    </w:p>
    <w:p w14:paraId="5190075F">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(2) 思考过程展示</w:t>
      </w:r>
    </w:p>
    <w:p w14:paraId="14F784BD">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 xml:space="preserve"> 为了增强用户对AI系统的信任感，系统需要能够展示AI在生成答案时的分析过程。每当用户提出查询时，AI将向用户展示其推理过程，包括从数据库中提取数据的步骤、所使用的算法逻辑及分析框架等。这不仅帮助用户理解AI是如何从问题到答案的每个环节的，还能提高结果的透明度，使用户对系统的可靠性产生更高的信任。</w:t>
      </w:r>
    </w:p>
    <w:p w14:paraId="6B93F5D7">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(3) SQL生成与透明化</w:t>
      </w:r>
    </w:p>
    <w:p w14:paraId="20E1F70F">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 xml:space="preserve"> 当用户提出查询时，系统应能够自动生成与之相关的SQL查询语句。AI会根据用户输入的自然语言解析出查询逻辑，并自动构建符合要求的SQL语句。在此基础上，系统需提供SQL语句的透明化展示，允许用户查看生成的SQL语句，并具备修改的权限。用户可根据需要调整语句，进一步优化查询或调整查询条件，保证查询结果符合预期。</w:t>
      </w:r>
    </w:p>
    <w:p w14:paraId="09EB79D5">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(4) 数据结果呈现</w:t>
      </w:r>
    </w:p>
    <w:p w14:paraId="7F9A5513">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 xml:space="preserve"> 查询结果应以易于理解的形式展示给用户。系统将从数据库中提取的相关数据以直观清晰的格式展现，确保用户能够快速理解查询结果并进行进一步操作。展示方式应支持多种数据格式，如表格、列表、或其他视图，且支持导出数据以便后续使用。通过清晰、简洁的结果呈现，确保用户能够迅速获取到他们所需的信息。</w:t>
      </w:r>
    </w:p>
    <w:p w14:paraId="620D9CDC">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(5) 智能可视化推荐与生成</w:t>
      </w:r>
    </w:p>
    <w:p w14:paraId="60227EA9">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 xml:space="preserve"> 基于查询结果的数据类型，AI问数系统将智能推荐适合的可视化图表形式。无论是饼状图、柱状图、折线图等，系统会根据数据的特点和查询目的自动选择最佳的可视化展示方式。用户也可自定义指定所需的可视化形式。系统还应支持灵活调整图表样式、颜色和展示细节，确保展示效果符合用户需求。</w:t>
      </w:r>
    </w:p>
    <w:p w14:paraId="0FCA1564">
      <w:pPr>
        <w:numPr>
          <w:ilvl w:val="0"/>
          <w:numId w:val="4"/>
        </w:numPr>
        <w:spacing w:before="0" w:after="0" w:line="360" w:lineRule="auto"/>
        <w:rPr>
          <w:rFonts w:ascii="宋体" w:hAnsi="宋体" w:eastAsia="宋体" w:cs="宋体"/>
          <w:color w:val="000000" w:themeColor="text1"/>
          <w:sz w:val="28"/>
          <w14:textFill>
            <w14:solidFill>
              <w14:schemeClr w14:val="tx1"/>
            </w14:solidFill>
          </w14:textFill>
        </w:rPr>
      </w:pPr>
      <w:r>
        <w:rPr>
          <w:rFonts w:ascii="宋体-简" w:hAnsi="宋体-简" w:eastAsia="宋体-简" w:cs="宋体-简"/>
          <w:i w:val="0"/>
          <w:strike w:val="0"/>
          <w:color w:val="000000" w:themeColor="text1"/>
          <w:spacing w:val="0"/>
          <w:sz w:val="28"/>
          <w:u w:val="none"/>
          <w14:textFill>
            <w14:solidFill>
              <w14:schemeClr w14:val="tx1"/>
            </w14:solidFill>
          </w14:textFill>
        </w:rPr>
        <w:t>多轮对话与上下文记忆</w:t>
      </w:r>
    </w:p>
    <w:p w14:paraId="4942E0B6">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为提供更加流畅与人性化的交互体验，AI问数系统必须支持多轮对话能力。系统需要具备上下文记忆功能，能够在同一个会话中记住用户之前的查询历史、筛选条件和分析维度。当用户提出追问或进行逐步深入的探索时，系统应能准确理解后续问题是对前序语境的补充或修正，而无需用户在每个问题中重复完整的背景信息。此功能旨在模拟人类对话的逻辑，让数据探索过程更加自然、高效，降低用户的使用门槛，支持更复杂的分析路径。</w:t>
      </w:r>
    </w:p>
    <w:p w14:paraId="5CB02B5F">
      <w:pPr>
        <w:numPr>
          <w:ilvl w:val="0"/>
          <w:numId w:val="4"/>
        </w:numPr>
        <w:spacing w:before="0" w:after="0" w:line="360" w:lineRule="auto"/>
        <w:rPr>
          <w:rFonts w:ascii="宋体" w:hAnsi="宋体" w:eastAsia="宋体" w:cs="宋体"/>
          <w:color w:val="000000" w:themeColor="text1"/>
          <w:sz w:val="28"/>
          <w14:textFill>
            <w14:solidFill>
              <w14:schemeClr w14:val="tx1"/>
            </w14:solidFill>
          </w14:textFill>
        </w:rPr>
      </w:pPr>
      <w:r>
        <w:rPr>
          <w:rFonts w:ascii="宋体-简" w:hAnsi="宋体-简" w:eastAsia="宋体-简" w:cs="宋体-简"/>
          <w:i w:val="0"/>
          <w:strike w:val="0"/>
          <w:color w:val="000000" w:themeColor="text1"/>
          <w:spacing w:val="0"/>
          <w:sz w:val="28"/>
          <w:u w:val="none"/>
          <w14:textFill>
            <w14:solidFill>
              <w14:schemeClr w14:val="tx1"/>
            </w14:solidFill>
          </w14:textFill>
        </w:rPr>
        <w:t>用户反馈与学习闭环</w:t>
      </w:r>
    </w:p>
    <w:p w14:paraId="3F3A27B0">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为确保AI问数系统的性能与准确性能够持续优化，需建立一套完整的用户反馈与学习闭环机制。在系统返回的每一个答案旁边，都应提供简便的反馈入口，例如“赞”、“踩”或评星按钮，并允许用户选择性地提交简要的文字说明。所有收集到的用户反馈将被系统地记录并传送至后台，作为优化模型、调整提示词、以及完善训练集的核心依据。通过这种“人工标注-模型学习-效果提升”的持续循环，让系统在实际应用中不断进化，越来越精准地理解博物馆业务人员的查询意图。</w:t>
      </w:r>
    </w:p>
    <w:p w14:paraId="237F7B70">
      <w:pPr>
        <w:numPr>
          <w:ilvl w:val="0"/>
          <w:numId w:val="4"/>
        </w:numPr>
        <w:spacing w:before="0" w:after="0" w:line="360" w:lineRule="auto"/>
        <w:rPr>
          <w:rFonts w:ascii="宋体" w:hAnsi="宋体" w:eastAsia="宋体" w:cs="宋体"/>
          <w:color w:val="000000" w:themeColor="text1"/>
          <w:sz w:val="28"/>
          <w14:textFill>
            <w14:solidFill>
              <w14:schemeClr w14:val="tx1"/>
            </w14:solidFill>
          </w14:textFill>
        </w:rPr>
      </w:pPr>
      <w:r>
        <w:rPr>
          <w:rFonts w:ascii="宋体-简" w:hAnsi="宋体-简" w:eastAsia="宋体-简" w:cs="宋体-简"/>
          <w:i w:val="0"/>
          <w:strike w:val="0"/>
          <w:color w:val="000000" w:themeColor="text1"/>
          <w:spacing w:val="0"/>
          <w:sz w:val="28"/>
          <w:u w:val="none"/>
          <w14:textFill>
            <w14:solidFill>
              <w14:schemeClr w14:val="tx1"/>
            </w14:solidFill>
          </w14:textFill>
        </w:rPr>
        <w:t>生成自定义报表数据集SQL</w:t>
      </w:r>
    </w:p>
    <w:p w14:paraId="7E0BEAC1">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为满足业务部门灵活、多变的报表制作需求，AI问数系统需具备一项高级功能：根据用户的自然语言描述，自动生成用于构建自定义报表数据集的复杂SQL语句。用户可以用日常语言描述一个完整报表的数据构成，系统将智能解析其中涉及的多个指标、维度、时间范围和关联计算，并生成一条完整、可执行的SQL查询。此功能不仅能将非技术人员从繁琐的SQL编写中解放出来，更能通过处理复杂逻辑查询的训练，反向提升AI问数系统本身的智能化水平和问答准确性。</w:t>
      </w:r>
    </w:p>
    <w:p w14:paraId="04B03F8C">
      <w:pPr>
        <w:numPr>
          <w:ilvl w:val="0"/>
          <w:numId w:val="4"/>
        </w:numPr>
        <w:spacing w:before="0" w:after="0" w:line="360" w:lineRule="auto"/>
        <w:rPr>
          <w:rFonts w:ascii="宋体" w:hAnsi="宋体" w:eastAsia="宋体" w:cs="宋体"/>
          <w:color w:val="000000" w:themeColor="text1"/>
          <w:sz w:val="28"/>
          <w14:textFill>
            <w14:solidFill>
              <w14:schemeClr w14:val="tx1"/>
            </w14:solidFill>
          </w14:textFill>
        </w:rPr>
      </w:pPr>
      <w:r>
        <w:rPr>
          <w:rFonts w:ascii="宋体-简" w:hAnsi="宋体-简" w:eastAsia="宋体-简" w:cs="宋体-简"/>
          <w:i w:val="0"/>
          <w:strike w:val="0"/>
          <w:color w:val="000000" w:themeColor="text1"/>
          <w:spacing w:val="0"/>
          <w:sz w:val="28"/>
          <w:u w:val="none"/>
          <w14:textFill>
            <w14:solidFill>
              <w14:schemeClr w14:val="tx1"/>
            </w14:solidFill>
          </w14:textFill>
        </w:rPr>
        <w:t>自动生成数据分析报告</w:t>
      </w:r>
    </w:p>
    <w:p w14:paraId="7146DBFA">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为实现常规分析工作的自动化，系统需支持自动生成格式化的数据分析报告。后台需支持预设报告模板（初期支持最多2个）。这些模板将定义报告的整体结构、章节、关键图表和数据表格。当触发报告生成指令时，AI系统将自动执行相关数据查询，将最新的分析结果填充到模板的预设位置，并可根据数据波动生成简要的描述性文本。最终，系统将导出一份结构完整、图文并茂的PDF格式报告，可直接供管理层审阅或部门间分享，极大地提升了数据汇报的效率和规范性。</w:t>
      </w:r>
    </w:p>
    <w:p w14:paraId="47A2D54F">
      <w:pPr>
        <w:numPr>
          <w:ilvl w:val="0"/>
          <w:numId w:val="4"/>
        </w:numPr>
        <w:spacing w:before="0" w:after="0" w:line="360" w:lineRule="auto"/>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配置问数大模型</w:t>
      </w:r>
    </w:p>
    <w:p w14:paraId="338CE4CE">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 xml:space="preserve"> AI问数系统将支持配置大模型，无论是部署在云端的模型，还是私有化部署的本地模型。用户可以根据需求选择合适的部署方式，系统应具备自动切换不同模型的能力，并在不同的部署环境中保持稳定的性能表现。配置大模型的功能将提升系统的计算能力与处理速度，支持更多复杂的查询任务。</w:t>
      </w:r>
    </w:p>
    <w:p w14:paraId="4D11B0C4">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(11) 配置提示词</w:t>
      </w:r>
    </w:p>
    <w:p w14:paraId="468D7A6C">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 xml:space="preserve"> 为了提高系统的精准度和回答的相关性，AI问数系统应允许用户自定义或配置提示词。提示词将帮助系统更好地理解用户查询中的意图，精确匹配相关数据或文档内容，提升搜索的准确性与效率。用户可根据实际需求调整提示词，以确保系统对查询请求的更好响应。</w:t>
      </w:r>
    </w:p>
    <w:p w14:paraId="35B52CD7">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(12) 配置问数大模型训练集</w:t>
      </w:r>
    </w:p>
    <w:p w14:paraId="5CEED4CD">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 xml:space="preserve"> 为了进一步提高问数系统的精确度，系统应支持单个或批量上传训练集。用户可以根据需要上传相关领域的文档、数据集或语料库，并对训练集内容进行在线编辑与优化。此功能将帮助系统根据特定领域的数据进行定制化训练，提升其针对特定问题的回答质量。</w:t>
      </w:r>
    </w:p>
    <w:p w14:paraId="22F224CA">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(13) 配置多种问数数据源</w:t>
      </w:r>
    </w:p>
    <w:p w14:paraId="2A1CE832">
      <w:pPr>
        <w:spacing w:before="0" w:after="0" w:line="360" w:lineRule="auto"/>
        <w:ind w:firstLineChars="200"/>
        <w:rPr>
          <w:rFonts w:ascii="宋体" w:hAnsi="宋体" w:eastAsia="宋体" w:cs="宋体"/>
          <w:color w:val="000000" w:themeColor="text1"/>
          <w:sz w:val="28"/>
          <w14:textFill>
            <w14:solidFill>
              <w14:schemeClr w14:val="tx1"/>
            </w14:solidFill>
          </w14:textFill>
        </w:rPr>
      </w:pPr>
      <w:r>
        <w:rPr>
          <w:rFonts w:ascii="宋体" w:hAnsi="宋体" w:eastAsia="宋体" w:cs="宋体"/>
          <w:color w:val="000000" w:themeColor="text1"/>
          <w:sz w:val="28"/>
          <w14:textFill>
            <w14:solidFill>
              <w14:schemeClr w14:val="tx1"/>
            </w14:solidFill>
          </w14:textFill>
        </w:rPr>
        <w:t xml:space="preserve"> AI问数系统应支持连接多种常见的数据源，包括MySQL、达梦数据库等。用户可以根据需要选择数据源并进行配置，系统将能够从不同的数据源中获取数据并进行整合分析。支持多数据源的配置将大大提升系统的灵活性与适应性，满足不同业务部门的数据需求。</w:t>
      </w:r>
    </w:p>
    <w:p w14:paraId="52A9DB82">
      <w:pPr>
        <w:rPr>
          <w:color w:val="000000" w:themeColor="text1"/>
          <w:sz w:val="21"/>
          <w:szCs w:val="21"/>
          <w14:textFill>
            <w14:solidFill>
              <w14:schemeClr w14:val="tx1"/>
            </w14:solidFill>
          </w14:textFill>
        </w:rPr>
      </w:pPr>
    </w:p>
    <w:p w14:paraId="383CDBB6">
      <w:pPr>
        <w:pStyle w:val="2"/>
        <w:numPr>
          <w:ilvl w:val="0"/>
          <w:numId w:val="1"/>
        </w:numPr>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其他需求说明</w:t>
      </w:r>
    </w:p>
    <w:p w14:paraId="206A18D5">
      <w:pPr>
        <w:pStyle w:val="3"/>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ascii="黑体" w:hAnsi="黑体" w:eastAsia="黑体" w:cs="黑体"/>
          <w:b w:val="0"/>
          <w:bCs/>
          <w:color w:val="000000" w:themeColor="text1"/>
          <w:lang w:val="en-US"/>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4.1 运行环境及网络</w:t>
      </w:r>
    </w:p>
    <w:p w14:paraId="2C5A404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t xml:space="preserve">平台环境：支持飞腾、鲲鹏等ARM架构国产CPU ； </w:t>
      </w:r>
    </w:p>
    <w:p w14:paraId="6828C1B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t>服务器端：银河麒麟等服务器操作系统；</w:t>
      </w:r>
    </w:p>
    <w:p w14:paraId="7F7A39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t>数据库：达梦数据库v8.0；</w:t>
      </w:r>
    </w:p>
    <w:p w14:paraId="4F16BC5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t>中间件：东方通TongWeb8.0.E.3_P1(嵌入式)；</w:t>
      </w:r>
    </w:p>
    <w:p w14:paraId="7BB105C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t>客户端操作系统：支持统信UOS、Win11等操作系统；</w:t>
      </w:r>
    </w:p>
    <w:p w14:paraId="735ED0B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1"/>
          <w:sz w:val="28"/>
          <w:szCs w:val="28"/>
          <w:highlight w:val="none"/>
          <w14:textFill>
            <w14:solidFill>
              <w14:schemeClr w14:val="tx1"/>
            </w14:solidFill>
          </w14:textFill>
        </w:rPr>
        <w:t>客户端浏览器：兼容360安全浏览器、搜狗浏览器、火狐等。</w:t>
      </w:r>
    </w:p>
    <w:p w14:paraId="30184AD0">
      <w:pPr>
        <w:pStyle w:val="3"/>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4.2维护需求</w:t>
      </w:r>
    </w:p>
    <w:p w14:paraId="1A2E21BC">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color w:val="000000" w:themeColor="text1"/>
          <w:sz w:val="28"/>
          <w:highlight w:val="none"/>
          <w:shd w:val="clear" w:color="auto" w:fill="FFFFFF"/>
          <w14:textFill>
            <w14:solidFill>
              <w14:schemeClr w14:val="tx1"/>
            </w14:solidFill>
          </w14:textFill>
        </w:rPr>
      </w:pPr>
      <w:r>
        <w:rPr>
          <w:rFonts w:hint="eastAsia" w:ascii="宋体" w:hAnsi="宋体" w:eastAsia="宋体" w:cs="宋体"/>
          <w:color w:val="000000" w:themeColor="text1"/>
          <w:sz w:val="28"/>
          <w:highlight w:val="none"/>
          <w:shd w:val="clear" w:color="auto" w:fill="FFFFFF"/>
          <w14:textFill>
            <w14:solidFill>
              <w14:schemeClr w14:val="tx1"/>
            </w14:solidFill>
          </w14:textFill>
        </w:rPr>
        <w:t>紧急维护：</w:t>
      </w:r>
      <w:r>
        <w:rPr>
          <w:rFonts w:hint="eastAsia" w:ascii="宋体" w:hAnsi="宋体" w:eastAsia="宋体" w:cs="宋体"/>
          <w:color w:val="000000" w:themeColor="text1"/>
          <w:sz w:val="28"/>
          <w:highlight w:val="none"/>
          <w:shd w:val="clear" w:color="auto" w:fill="FFFFFF"/>
          <w:lang w:val="en-US" w:eastAsia="zh-CN"/>
          <w14:textFill>
            <w14:solidFill>
              <w14:schemeClr w14:val="tx1"/>
            </w14:solidFill>
          </w14:textFill>
        </w:rPr>
        <w:t>如</w:t>
      </w:r>
      <w:r>
        <w:rPr>
          <w:rFonts w:hint="eastAsia" w:ascii="宋体" w:hAnsi="宋体" w:eastAsia="宋体" w:cs="宋体"/>
          <w:color w:val="000000" w:themeColor="text1"/>
          <w:sz w:val="28"/>
          <w:highlight w:val="none"/>
          <w:shd w:val="clear" w:color="auto" w:fill="FFFFFF"/>
          <w14:textFill>
            <w14:solidFill>
              <w14:schemeClr w14:val="tx1"/>
            </w14:solidFill>
          </w14:textFill>
        </w:rPr>
        <w:t>遇紧急故障，需</w:t>
      </w:r>
      <w:r>
        <w:rPr>
          <w:rFonts w:hint="eastAsia" w:ascii="宋体" w:hAnsi="宋体" w:eastAsia="宋体" w:cs="宋体"/>
          <w:color w:val="000000" w:themeColor="text1"/>
          <w:sz w:val="28"/>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8"/>
          <w:highlight w:val="none"/>
          <w:shd w:val="clear" w:color="auto" w:fill="FFFFFF"/>
          <w14:textFill>
            <w14:solidFill>
              <w14:schemeClr w14:val="tx1"/>
            </w14:solidFill>
          </w14:textFill>
        </w:rPr>
        <w:t>0分钟响应，</w:t>
      </w:r>
      <w:r>
        <w:rPr>
          <w:rFonts w:hint="eastAsia" w:ascii="宋体" w:hAnsi="宋体" w:eastAsia="宋体" w:cs="宋体"/>
          <w:color w:val="000000" w:themeColor="text1"/>
          <w:sz w:val="28"/>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8"/>
          <w:highlight w:val="none"/>
          <w:shd w:val="clear" w:color="auto" w:fill="FFFFFF"/>
          <w14:textFill>
            <w14:solidFill>
              <w14:schemeClr w14:val="tx1"/>
            </w14:solidFill>
          </w14:textFill>
        </w:rPr>
        <w:t>小时</w:t>
      </w:r>
      <w:r>
        <w:rPr>
          <w:rFonts w:hint="eastAsia" w:ascii="宋体" w:hAnsi="宋体" w:eastAsia="宋体" w:cs="宋体"/>
          <w:color w:val="000000" w:themeColor="text1"/>
          <w:sz w:val="28"/>
          <w:highlight w:val="none"/>
          <w:shd w:val="clear" w:color="auto" w:fill="FFFFFF"/>
          <w:lang w:val="en-US" w:eastAsia="zh-CN"/>
          <w14:textFill>
            <w14:solidFill>
              <w14:schemeClr w14:val="tx1"/>
            </w14:solidFill>
          </w14:textFill>
        </w:rPr>
        <w:t>内</w:t>
      </w:r>
      <w:r>
        <w:rPr>
          <w:rFonts w:hint="eastAsia" w:ascii="宋体" w:hAnsi="宋体" w:eastAsia="宋体" w:cs="宋体"/>
          <w:color w:val="000000" w:themeColor="text1"/>
          <w:sz w:val="28"/>
          <w:highlight w:val="none"/>
          <w:shd w:val="clear" w:color="auto" w:fill="FFFFFF"/>
          <w14:textFill>
            <w14:solidFill>
              <w14:schemeClr w14:val="tx1"/>
            </w14:solidFill>
          </w14:textFill>
        </w:rPr>
        <w:t>到达现场</w:t>
      </w:r>
      <w:r>
        <w:rPr>
          <w:rFonts w:hint="eastAsia" w:ascii="宋体" w:hAnsi="宋体" w:eastAsia="宋体" w:cs="宋体"/>
          <w:color w:val="000000" w:themeColor="text1"/>
          <w:sz w:val="28"/>
          <w:highlight w:val="none"/>
          <w:shd w:val="clear" w:color="auto" w:fill="FFFFFF"/>
          <w:lang w:eastAsia="zh-CN"/>
          <w14:textFill>
            <w14:solidFill>
              <w14:schemeClr w14:val="tx1"/>
            </w14:solidFill>
          </w14:textFill>
        </w:rPr>
        <w:t>，最迟在1个工作日内修复故障、恢复平台</w:t>
      </w:r>
      <w:r>
        <w:rPr>
          <w:rFonts w:hint="eastAsia" w:ascii="宋体" w:hAnsi="宋体" w:eastAsia="宋体" w:cs="宋体"/>
          <w:color w:val="000000" w:themeColor="text1"/>
          <w:sz w:val="28"/>
          <w:highlight w:val="none"/>
          <w:shd w:val="clear" w:color="auto" w:fill="FFFFFF"/>
          <w14:textFill>
            <w14:solidFill>
              <w14:schemeClr w14:val="tx1"/>
            </w14:solidFill>
          </w14:textFill>
        </w:rPr>
        <w:t>。</w:t>
      </w:r>
    </w:p>
    <w:p w14:paraId="29860E2C">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color w:val="000000" w:themeColor="text1"/>
          <w:sz w:val="28"/>
          <w:highlight w:val="none"/>
          <w:shd w:val="clear" w:color="auto" w:fill="FFFFFF"/>
          <w14:textFill>
            <w14:solidFill>
              <w14:schemeClr w14:val="tx1"/>
            </w14:solidFill>
          </w14:textFill>
        </w:rPr>
      </w:pPr>
      <w:r>
        <w:rPr>
          <w:rFonts w:hint="eastAsia" w:ascii="宋体" w:hAnsi="宋体" w:eastAsia="宋体" w:cs="宋体"/>
          <w:color w:val="000000" w:themeColor="text1"/>
          <w:sz w:val="28"/>
          <w:highlight w:val="none"/>
          <w:shd w:val="clear" w:color="auto" w:fill="FFFFFF"/>
          <w14:textFill>
            <w14:solidFill>
              <w14:schemeClr w14:val="tx1"/>
            </w14:solidFill>
          </w14:textFill>
        </w:rPr>
        <w:t>如影响非平台关键业务或性能下降，但不至于中断平台的半小时响应，72小时内排除故障。</w:t>
      </w:r>
    </w:p>
    <w:p w14:paraId="2B258173">
      <w:pPr>
        <w:pStyle w:val="3"/>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ascii="黑体" w:hAnsi="黑体" w:eastAsia="黑体" w:cs="黑体"/>
          <w:b w:val="0"/>
          <w:bCs/>
          <w:color w:val="000000" w:themeColor="text1"/>
          <w:highlight w:val="none"/>
          <w14:textFill>
            <w14:solidFill>
              <w14:schemeClr w14:val="tx1"/>
            </w14:solidFill>
          </w14:textFill>
        </w:rPr>
      </w:pPr>
      <w:r>
        <w:rPr>
          <w:rFonts w:hint="eastAsia" w:ascii="黑体" w:hAnsi="黑体" w:eastAsia="黑体" w:cs="黑体"/>
          <w:b w:val="0"/>
          <w:bCs/>
          <w:color w:val="000000" w:themeColor="text1"/>
          <w:highlight w:val="none"/>
          <w14:textFill>
            <w14:solidFill>
              <w14:schemeClr w14:val="tx1"/>
            </w14:solidFill>
          </w14:textFill>
        </w:rPr>
        <w:t>4.3支付和验收</w:t>
      </w:r>
    </w:p>
    <w:p w14:paraId="00B6CE5A">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color w:val="000000" w:themeColor="text1"/>
          <w:sz w:val="28"/>
          <w:highlight w:val="none"/>
          <w:shd w:val="clear" w:color="auto" w:fill="FFFFFF"/>
          <w14:textFill>
            <w14:solidFill>
              <w14:schemeClr w14:val="tx1"/>
            </w14:solidFill>
          </w14:textFill>
        </w:rPr>
      </w:pPr>
      <w:r>
        <w:rPr>
          <w:rFonts w:hint="eastAsia" w:ascii="宋体" w:hAnsi="宋体" w:eastAsia="宋体" w:cs="宋体"/>
          <w:color w:val="000000" w:themeColor="text1"/>
          <w:sz w:val="28"/>
          <w:highlight w:val="none"/>
          <w:shd w:val="clear" w:color="auto" w:fill="FFFFFF"/>
          <w14:textFill>
            <w14:solidFill>
              <w14:schemeClr w14:val="tx1"/>
            </w14:solidFill>
          </w14:textFill>
        </w:rPr>
        <w:t>合同签订后，在收到报价方等额增值税普通发票后</w:t>
      </w:r>
      <w:r>
        <w:rPr>
          <w:rFonts w:hint="eastAsia" w:ascii="宋体" w:hAnsi="宋体" w:eastAsia="宋体" w:cs="宋体"/>
          <w:color w:val="000000" w:themeColor="text1"/>
          <w:sz w:val="28"/>
          <w:highlight w:val="none"/>
          <w:shd w:val="clear" w:color="auto" w:fill="FFFFFF"/>
          <w:lang w:val="en-US" w:eastAsia="zh-CN"/>
          <w14:textFill>
            <w14:solidFill>
              <w14:schemeClr w14:val="tx1"/>
            </w14:solidFill>
          </w14:textFill>
        </w:rPr>
        <w:t>5个工作日</w:t>
      </w:r>
      <w:r>
        <w:rPr>
          <w:rFonts w:hint="eastAsia" w:ascii="宋体" w:hAnsi="宋体" w:eastAsia="宋体" w:cs="宋体"/>
          <w:color w:val="000000" w:themeColor="text1"/>
          <w:sz w:val="28"/>
          <w:highlight w:val="none"/>
          <w:shd w:val="clear" w:color="auto" w:fill="FFFFFF"/>
          <w14:textFill>
            <w14:solidFill>
              <w14:schemeClr w14:val="tx1"/>
            </w14:solidFill>
          </w14:textFill>
        </w:rPr>
        <w:t>内支付报价方50%款项</w:t>
      </w:r>
      <w:r>
        <w:rPr>
          <w:rFonts w:hint="eastAsia" w:ascii="宋体" w:hAnsi="宋体" w:eastAsia="宋体" w:cs="宋体"/>
          <w:color w:val="000000" w:themeColor="text1"/>
          <w:sz w:val="28"/>
          <w:highlight w:val="none"/>
          <w:shd w:val="clear" w:color="auto" w:fill="FFFFFF"/>
          <w:lang w:eastAsia="zh-CN"/>
          <w14:textFill>
            <w14:solidFill>
              <w14:schemeClr w14:val="tx1"/>
            </w14:solidFill>
          </w14:textFill>
        </w:rPr>
        <w:t>；项目上线试运行后</w:t>
      </w:r>
      <w:r>
        <w:rPr>
          <w:rFonts w:hint="eastAsia" w:ascii="宋体" w:hAnsi="宋体" w:eastAsia="宋体" w:cs="宋体"/>
          <w:color w:val="000000" w:themeColor="text1"/>
          <w:sz w:val="28"/>
          <w:highlight w:val="none"/>
          <w:shd w:val="clear" w:color="auto" w:fill="FFFFFF"/>
          <w14:textFill>
            <w14:solidFill>
              <w14:schemeClr w14:val="tx1"/>
            </w14:solidFill>
          </w14:textFill>
        </w:rPr>
        <w:t>，</w:t>
      </w:r>
      <w:r>
        <w:rPr>
          <w:rFonts w:hint="eastAsia" w:ascii="宋体" w:hAnsi="宋体" w:eastAsia="宋体" w:cs="宋体"/>
          <w:color w:val="000000" w:themeColor="text1"/>
          <w:sz w:val="28"/>
          <w:highlight w:val="none"/>
          <w:shd w:val="clear" w:color="auto" w:fill="FFFFFF"/>
          <w:lang w:val="en-US" w:eastAsia="zh-CN"/>
          <w14:textFill>
            <w14:solidFill>
              <w14:schemeClr w14:val="tx1"/>
            </w14:solidFill>
          </w14:textFill>
        </w:rPr>
        <w:t>自</w:t>
      </w:r>
      <w:r>
        <w:rPr>
          <w:rFonts w:hint="eastAsia" w:ascii="宋体" w:hAnsi="宋体" w:eastAsia="宋体" w:cs="宋体"/>
          <w:color w:val="000000" w:themeColor="text1"/>
          <w:sz w:val="28"/>
          <w:highlight w:val="none"/>
          <w:shd w:val="clear" w:color="auto" w:fill="FFFFFF"/>
          <w14:textFill>
            <w14:solidFill>
              <w14:schemeClr w14:val="tx1"/>
            </w14:solidFill>
          </w14:textFill>
        </w:rPr>
        <w:t>收到等额增值税普通发票5个工作日内支付合同金额的35%作为项目进度款；项目通过验收</w:t>
      </w:r>
      <w:r>
        <w:rPr>
          <w:rFonts w:hint="eastAsia" w:ascii="宋体" w:hAnsi="宋体" w:eastAsia="宋体" w:cs="宋体"/>
          <w:color w:val="000000" w:themeColor="text1"/>
          <w:sz w:val="28"/>
          <w:highlight w:val="none"/>
          <w:shd w:val="clear" w:color="auto" w:fill="FFFFFF"/>
          <w:lang w:val="en-US" w:eastAsia="zh-CN"/>
          <w14:textFill>
            <w14:solidFill>
              <w14:schemeClr w14:val="tx1"/>
            </w14:solidFill>
          </w14:textFill>
        </w:rPr>
        <w:t>合格后</w:t>
      </w:r>
      <w:r>
        <w:rPr>
          <w:rFonts w:hint="eastAsia" w:ascii="宋体" w:hAnsi="宋体" w:eastAsia="宋体" w:cs="宋体"/>
          <w:color w:val="000000" w:themeColor="text1"/>
          <w:sz w:val="28"/>
          <w:highlight w:val="none"/>
          <w:shd w:val="clear" w:color="auto" w:fill="FFFFFF"/>
          <w14:textFill>
            <w14:solidFill>
              <w14:schemeClr w14:val="tx1"/>
            </w14:solidFill>
          </w14:textFill>
        </w:rPr>
        <w:t>，自收到乙方开具等额有效发票5日内支付剩余款项。</w:t>
      </w:r>
    </w:p>
    <w:p w14:paraId="604120E3">
      <w:pPr>
        <w:snapToGrid/>
        <w:spacing w:before="0" w:after="0" w:line="360" w:lineRule="auto"/>
        <w:rPr>
          <w:rFonts w:hint="eastAsia" w:ascii="宋体" w:hAnsi="宋体" w:eastAsia="宋体" w:cs="宋体"/>
          <w:color w:val="000000" w:themeColor="text1"/>
          <w:sz w:val="28"/>
          <w:shd w:val="clear" w:color="auto" w:fill="FFFFFF"/>
          <w14:textFill>
            <w14:solidFill>
              <w14:schemeClr w14:val="tx1"/>
            </w14:solidFill>
          </w14:textFill>
        </w:rPr>
      </w:pPr>
    </w:p>
    <w:p w14:paraId="0145525B">
      <w:pPr>
        <w:snapToGrid/>
        <w:spacing w:before="0" w:after="0" w:line="360" w:lineRule="auto"/>
        <w:rPr>
          <w:rFonts w:ascii="宋体" w:hAnsi="宋体" w:eastAsia="宋体" w:cs="宋体"/>
          <w:color w:val="000000" w:themeColor="text1"/>
          <w:sz w:val="28"/>
          <w:shd w:val="clear" w:color="auto" w:fill="FFFFFF"/>
          <w14:textFill>
            <w14:solidFill>
              <w14:schemeClr w14:val="tx1"/>
            </w14:solidFill>
          </w14:textFill>
        </w:rPr>
      </w:pPr>
    </w:p>
    <w:p w14:paraId="5D777404">
      <w:pPr>
        <w:pStyle w:val="2"/>
        <w:numPr>
          <w:ilvl w:val="0"/>
          <w:numId w:val="1"/>
        </w:numPr>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投标人须知</w:t>
      </w:r>
    </w:p>
    <w:p w14:paraId="2CD4D5D6">
      <w:pPr>
        <w:pStyle w:val="3"/>
        <w:keepNext/>
        <w:keepLines/>
        <w:pageBreakBefore w:val="0"/>
        <w:widowControl w:val="0"/>
        <w:kinsoku/>
        <w:wordWrap/>
        <w:overflowPunct/>
        <w:topLinePunct w:val="0"/>
        <w:autoSpaceDE/>
        <w:autoSpaceDN/>
        <w:bidi w:val="0"/>
        <w:adjustRightInd/>
        <w:snapToGrid w:val="0"/>
        <w:spacing w:before="0" w:after="0" w:line="360" w:lineRule="auto"/>
        <w:textAlignment w:val="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5.1报价人提交材料</w:t>
      </w:r>
    </w:p>
    <w:p w14:paraId="279EDA77">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（一）资格性审查相关文件</w:t>
      </w:r>
    </w:p>
    <w:p w14:paraId="173FE505">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（二）报价单</w:t>
      </w:r>
    </w:p>
    <w:p w14:paraId="202A5120">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（三）真实性承诺函</w:t>
      </w:r>
    </w:p>
    <w:p w14:paraId="3AEA399A">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（四）企业资质</w:t>
      </w:r>
    </w:p>
    <w:p w14:paraId="6D796056">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（五）相关业绩</w:t>
      </w:r>
    </w:p>
    <w:p w14:paraId="4E65D90E">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（六）项目实施方案</w:t>
      </w:r>
    </w:p>
    <w:p w14:paraId="1E68E068">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（七）其他与本项目相关的材料</w:t>
      </w:r>
    </w:p>
    <w:p w14:paraId="5A2EAAF9">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p>
    <w:p w14:paraId="1FC3E2BB">
      <w:pPr>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说明：以上材料均需加盖投标人公章，不盖公章将列为无效文件。</w:t>
      </w:r>
    </w:p>
    <w:p w14:paraId="270C839D">
      <w:pPr>
        <w:rPr>
          <w:color w:val="000000" w:themeColor="text1"/>
          <w14:textFill>
            <w14:solidFill>
              <w14:schemeClr w14:val="tx1"/>
            </w14:solidFill>
          </w14:textFill>
        </w:rPr>
      </w:pPr>
    </w:p>
    <w:p w14:paraId="0F7C352F">
      <w:pPr>
        <w:rPr>
          <w:rFonts w:hint="eastAsia" w:ascii="宋体" w:hAnsi="宋体" w:eastAsia="宋体" w:cs="宋体"/>
          <w:sz w:val="28"/>
          <w:szCs w:val="28"/>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br w:type="page"/>
      </w:r>
    </w:p>
    <w:p w14:paraId="0BEB5A64">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评分标准</w:t>
      </w:r>
    </w:p>
    <w:tbl>
      <w:tblPr>
        <w:tblStyle w:val="11"/>
        <w:tblW w:w="9769" w:type="dxa"/>
        <w:tblInd w:w="96" w:type="dxa"/>
        <w:tblLayout w:type="fixed"/>
        <w:tblCellMar>
          <w:top w:w="0" w:type="dxa"/>
          <w:left w:w="108" w:type="dxa"/>
          <w:bottom w:w="0" w:type="dxa"/>
          <w:right w:w="108" w:type="dxa"/>
        </w:tblCellMar>
      </w:tblPr>
      <w:tblGrid>
        <w:gridCol w:w="1121"/>
        <w:gridCol w:w="2533"/>
        <w:gridCol w:w="4993"/>
        <w:gridCol w:w="1122"/>
      </w:tblGrid>
      <w:tr w14:paraId="38A31867">
        <w:tblPrEx>
          <w:tblCellMar>
            <w:top w:w="0" w:type="dxa"/>
            <w:left w:w="108" w:type="dxa"/>
            <w:bottom w:w="0" w:type="dxa"/>
            <w:right w:w="108" w:type="dxa"/>
          </w:tblCellMar>
        </w:tblPrEx>
        <w:trPr>
          <w:trHeight w:val="264"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9513">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序号</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8ADA">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评审项目</w:t>
            </w:r>
          </w:p>
        </w:tc>
        <w:tc>
          <w:tcPr>
            <w:tcW w:w="4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B1EC">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评审内容</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7F2A">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分值</w:t>
            </w:r>
          </w:p>
        </w:tc>
      </w:tr>
      <w:tr w14:paraId="15AF0F5B">
        <w:tblPrEx>
          <w:tblCellMar>
            <w:top w:w="0" w:type="dxa"/>
            <w:left w:w="108" w:type="dxa"/>
            <w:bottom w:w="0" w:type="dxa"/>
            <w:right w:w="108" w:type="dxa"/>
          </w:tblCellMar>
        </w:tblPrEx>
        <w:trPr>
          <w:trHeight w:val="72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C1FE">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249F">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同类项目业绩</w:t>
            </w:r>
          </w:p>
        </w:tc>
        <w:tc>
          <w:tcPr>
            <w:tcW w:w="4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2932">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提供2022年至202</w:t>
            </w:r>
            <w:r>
              <w:rPr>
                <w:rFonts w:hint="eastAsia" w:ascii="宋体" w:hAnsi="宋体" w:eastAsia="宋体" w:cs="宋体"/>
                <w:kern w:val="0"/>
                <w:sz w:val="20"/>
                <w:szCs w:val="20"/>
                <w:lang w:val="en-US" w:eastAsia="zh-CN" w:bidi="ar"/>
              </w:rPr>
              <w:t>4</w:t>
            </w:r>
            <w:r>
              <w:rPr>
                <w:rFonts w:hint="eastAsia" w:ascii="宋体" w:hAnsi="宋体" w:eastAsia="宋体" w:cs="宋体"/>
                <w:kern w:val="0"/>
                <w:sz w:val="20"/>
                <w:szCs w:val="20"/>
                <w:lang w:bidi="ar"/>
              </w:rPr>
              <w:t>年以来同业同类项目业绩，每提供一个得</w:t>
            </w:r>
            <w:r>
              <w:rPr>
                <w:rFonts w:hint="eastAsia" w:ascii="宋体" w:hAnsi="宋体" w:eastAsia="宋体" w:cs="宋体"/>
                <w:kern w:val="0"/>
                <w:sz w:val="20"/>
                <w:szCs w:val="20"/>
                <w:lang w:val="en-US" w:eastAsia="zh-CN" w:bidi="ar"/>
              </w:rPr>
              <w:t>2</w:t>
            </w:r>
            <w:r>
              <w:rPr>
                <w:rFonts w:hint="eastAsia" w:ascii="宋体" w:hAnsi="宋体" w:eastAsia="宋体" w:cs="宋体"/>
                <w:kern w:val="0"/>
                <w:sz w:val="20"/>
                <w:szCs w:val="20"/>
                <w:lang w:bidi="ar"/>
              </w:rPr>
              <w:t>分，最高分</w:t>
            </w:r>
            <w:r>
              <w:rPr>
                <w:rFonts w:hint="eastAsia" w:ascii="宋体" w:hAnsi="宋体" w:eastAsia="宋体" w:cs="宋体"/>
                <w:kern w:val="0"/>
                <w:sz w:val="20"/>
                <w:szCs w:val="20"/>
                <w:lang w:val="en-US" w:eastAsia="zh-CN" w:bidi="ar"/>
              </w:rPr>
              <w:t>14</w:t>
            </w:r>
            <w:r>
              <w:rPr>
                <w:rFonts w:hint="eastAsia" w:ascii="宋体" w:hAnsi="宋体" w:eastAsia="宋体" w:cs="宋体"/>
                <w:kern w:val="0"/>
                <w:sz w:val="20"/>
                <w:szCs w:val="20"/>
                <w:lang w:bidi="ar"/>
              </w:rPr>
              <w:t>分。</w:t>
            </w:r>
          </w:p>
          <w:p w14:paraId="464651C7">
            <w:pPr>
              <w:widowControl/>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（提供可代表合同实施内容的合同页和签章页）</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2467">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kern w:val="0"/>
                <w:sz w:val="20"/>
                <w:szCs w:val="20"/>
                <w:lang w:val="en-US" w:eastAsia="zh-CN" w:bidi="ar"/>
              </w:rPr>
              <w:t>14</w:t>
            </w:r>
          </w:p>
        </w:tc>
      </w:tr>
      <w:tr w14:paraId="51047746">
        <w:tblPrEx>
          <w:tblCellMar>
            <w:top w:w="0" w:type="dxa"/>
            <w:left w:w="108" w:type="dxa"/>
            <w:bottom w:w="0" w:type="dxa"/>
            <w:right w:w="108" w:type="dxa"/>
          </w:tblCellMar>
        </w:tblPrEx>
        <w:trPr>
          <w:trHeight w:val="264"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5354">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7CF">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技术储备</w:t>
            </w:r>
          </w:p>
        </w:tc>
        <w:tc>
          <w:tcPr>
            <w:tcW w:w="4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657C">
            <w:pPr>
              <w:widowControl/>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具有相关软件著作权的，每有一项得</w:t>
            </w:r>
            <w:r>
              <w:rPr>
                <w:rFonts w:hint="eastAsia" w:ascii="宋体" w:hAnsi="宋体" w:eastAsia="宋体" w:cs="宋体"/>
                <w:kern w:val="0"/>
                <w:sz w:val="20"/>
                <w:szCs w:val="20"/>
                <w:lang w:val="en-US" w:eastAsia="zh-CN" w:bidi="ar"/>
              </w:rPr>
              <w:t>1</w:t>
            </w:r>
            <w:r>
              <w:rPr>
                <w:rFonts w:hint="eastAsia" w:ascii="宋体" w:hAnsi="宋体" w:eastAsia="宋体" w:cs="宋体"/>
                <w:kern w:val="0"/>
                <w:sz w:val="20"/>
                <w:szCs w:val="20"/>
                <w:lang w:bidi="ar"/>
              </w:rPr>
              <w:t>分，总分</w:t>
            </w:r>
            <w:r>
              <w:rPr>
                <w:rFonts w:hint="eastAsia" w:ascii="宋体" w:hAnsi="宋体" w:eastAsia="宋体" w:cs="宋体"/>
                <w:kern w:val="0"/>
                <w:sz w:val="20"/>
                <w:szCs w:val="20"/>
                <w:lang w:val="en-US" w:eastAsia="zh-CN" w:bidi="ar"/>
              </w:rPr>
              <w:t>8</w:t>
            </w:r>
            <w:r>
              <w:rPr>
                <w:rFonts w:hint="eastAsia" w:ascii="宋体" w:hAnsi="宋体" w:eastAsia="宋体" w:cs="宋体"/>
                <w:kern w:val="0"/>
                <w:sz w:val="20"/>
                <w:szCs w:val="20"/>
                <w:lang w:bidi="ar"/>
              </w:rPr>
              <w:t>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91C3">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kern w:val="0"/>
                <w:sz w:val="20"/>
                <w:szCs w:val="20"/>
                <w:lang w:val="en-US" w:eastAsia="zh-CN" w:bidi="ar"/>
              </w:rPr>
              <w:t>8</w:t>
            </w:r>
          </w:p>
        </w:tc>
      </w:tr>
      <w:tr w14:paraId="0D14BD8B">
        <w:tblPrEx>
          <w:tblCellMar>
            <w:top w:w="0" w:type="dxa"/>
            <w:left w:w="108" w:type="dxa"/>
            <w:bottom w:w="0" w:type="dxa"/>
            <w:right w:w="108" w:type="dxa"/>
          </w:tblCellMar>
        </w:tblPrEx>
        <w:trPr>
          <w:trHeight w:val="153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A120">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F769">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实施团队符合程度</w:t>
            </w:r>
          </w:p>
        </w:tc>
        <w:tc>
          <w:tcPr>
            <w:tcW w:w="4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9832">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承担本项目的团队成员技术能力：</w:t>
            </w:r>
          </w:p>
          <w:p w14:paraId="60D9E4D4">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项目经理和团队成员具有信息系统管理等软考系列高级证书的，每个得2分；</w:t>
            </w:r>
          </w:p>
          <w:p w14:paraId="6CFC6AD6">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项目经理和团队成员具有软件工程师等软考系列中级证书的，每个得1分；</w:t>
            </w:r>
          </w:p>
          <w:p w14:paraId="06AA9210">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同一人同时具有多个证书的不重复计分，总分8分。</w:t>
            </w:r>
          </w:p>
          <w:p w14:paraId="343A5FBA">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项目经理和团队成员需提供近3个月的社保证明材料</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C52F">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w:t>
            </w:r>
          </w:p>
        </w:tc>
      </w:tr>
      <w:tr w14:paraId="035AB7D1">
        <w:tblPrEx>
          <w:tblCellMar>
            <w:top w:w="0" w:type="dxa"/>
            <w:left w:w="108" w:type="dxa"/>
            <w:bottom w:w="0" w:type="dxa"/>
            <w:right w:w="108" w:type="dxa"/>
          </w:tblCellMar>
        </w:tblPrEx>
        <w:trPr>
          <w:trHeight w:val="96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09FF">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kern w:val="0"/>
                <w:sz w:val="20"/>
                <w:szCs w:val="20"/>
                <w:lang w:val="en-US" w:eastAsia="zh-CN" w:bidi="ar"/>
              </w:rPr>
              <w:t>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9214">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实施方案</w:t>
            </w:r>
          </w:p>
        </w:tc>
        <w:tc>
          <w:tcPr>
            <w:tcW w:w="4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FA7C">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报价人应充分了解需求，结合本项目采购的服务内容提出针对性的实施方案，方案详实，可行性强。</w:t>
            </w:r>
          </w:p>
          <w:p w14:paraId="2429225E">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实施方案优秀得40分；</w:t>
            </w:r>
          </w:p>
          <w:p w14:paraId="13E64D0B">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实施方案一般得</w:t>
            </w:r>
            <w:r>
              <w:rPr>
                <w:rFonts w:hint="eastAsia" w:ascii="宋体" w:hAnsi="宋体" w:eastAsia="宋体" w:cs="宋体"/>
                <w:kern w:val="0"/>
                <w:sz w:val="20"/>
                <w:szCs w:val="20"/>
                <w:lang w:val="en-US" w:eastAsia="zh-CN" w:bidi="ar"/>
              </w:rPr>
              <w:t>25</w:t>
            </w:r>
            <w:r>
              <w:rPr>
                <w:rFonts w:hint="eastAsia" w:ascii="宋体" w:hAnsi="宋体" w:eastAsia="宋体" w:cs="宋体"/>
                <w:kern w:val="0"/>
                <w:sz w:val="20"/>
                <w:szCs w:val="20"/>
                <w:lang w:bidi="ar"/>
              </w:rPr>
              <w:t>分；</w:t>
            </w:r>
          </w:p>
          <w:p w14:paraId="79AA46A3">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实施方案不可行得</w:t>
            </w:r>
            <w:r>
              <w:rPr>
                <w:rFonts w:hint="eastAsia" w:ascii="宋体" w:hAnsi="宋体" w:eastAsia="宋体" w:cs="宋体"/>
                <w:kern w:val="0"/>
                <w:sz w:val="20"/>
                <w:szCs w:val="20"/>
                <w:lang w:val="en-US" w:eastAsia="zh-CN" w:bidi="ar"/>
              </w:rPr>
              <w:t>10</w:t>
            </w:r>
            <w:r>
              <w:rPr>
                <w:rFonts w:hint="eastAsia" w:ascii="宋体" w:hAnsi="宋体" w:eastAsia="宋体" w:cs="宋体"/>
                <w:kern w:val="0"/>
                <w:sz w:val="20"/>
                <w:szCs w:val="20"/>
                <w:lang w:bidi="ar"/>
              </w:rPr>
              <w:t>分；</w:t>
            </w:r>
          </w:p>
          <w:p w14:paraId="1A05185A">
            <w:pPr>
              <w:widowControl/>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没有实施方案不得分。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6F98">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40</w:t>
            </w:r>
          </w:p>
        </w:tc>
      </w:tr>
      <w:tr w14:paraId="5A300A64">
        <w:tblPrEx>
          <w:tblCellMar>
            <w:top w:w="0" w:type="dxa"/>
            <w:left w:w="108" w:type="dxa"/>
            <w:bottom w:w="0" w:type="dxa"/>
            <w:right w:w="108" w:type="dxa"/>
          </w:tblCellMar>
        </w:tblPrEx>
        <w:trPr>
          <w:trHeight w:val="96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DBB3">
            <w:pPr>
              <w:widowControl/>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3F3E">
            <w:pPr>
              <w:widowControl/>
              <w:jc w:val="center"/>
              <w:textAlignment w:val="center"/>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系统集成方案</w:t>
            </w:r>
          </w:p>
        </w:tc>
        <w:tc>
          <w:tcPr>
            <w:tcW w:w="4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BE26">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报价人充分理解用户需求，明确项目边界，与其他原有系统及平台提出针对性的集成设计和实施方案。</w:t>
            </w:r>
          </w:p>
          <w:p w14:paraId="10915859">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实施方案优秀得10分；</w:t>
            </w:r>
          </w:p>
          <w:p w14:paraId="4D6737C2">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实施方案一般得7分；</w:t>
            </w:r>
          </w:p>
          <w:p w14:paraId="40B16FA7">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实施方案不可行得3分；</w:t>
            </w:r>
          </w:p>
          <w:p w14:paraId="6B49C1E5">
            <w:pPr>
              <w:widowControl/>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没有实施方案不得分。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CAFF">
            <w:pPr>
              <w:widowControl/>
              <w:jc w:val="center"/>
              <w:textAlignment w:val="center"/>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10</w:t>
            </w:r>
          </w:p>
        </w:tc>
      </w:tr>
      <w:tr w14:paraId="080301D3">
        <w:tblPrEx>
          <w:tblCellMar>
            <w:top w:w="0" w:type="dxa"/>
            <w:left w:w="108" w:type="dxa"/>
            <w:bottom w:w="0" w:type="dxa"/>
            <w:right w:w="108" w:type="dxa"/>
          </w:tblCellMar>
        </w:tblPrEx>
        <w:trPr>
          <w:trHeight w:val="96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1F00">
            <w:pPr>
              <w:widowControl/>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38DB">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售后服务质量</w:t>
            </w:r>
          </w:p>
        </w:tc>
        <w:tc>
          <w:tcPr>
            <w:tcW w:w="4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3BF1">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针对售后服务保障措施，培训计划，响应服务质量：</w:t>
            </w:r>
          </w:p>
          <w:p w14:paraId="2DAE1C62">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售后服务方案优秀得10分；</w:t>
            </w:r>
          </w:p>
          <w:p w14:paraId="1F69685F">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售后服务方案一般</w:t>
            </w:r>
            <w:r>
              <w:rPr>
                <w:rFonts w:hint="eastAsia" w:ascii="宋体" w:hAnsi="宋体" w:eastAsia="宋体" w:cs="宋体"/>
                <w:kern w:val="0"/>
                <w:sz w:val="20"/>
                <w:szCs w:val="20"/>
                <w:lang w:val="en-US" w:eastAsia="zh-CN" w:bidi="ar"/>
              </w:rPr>
              <w:t>5</w:t>
            </w:r>
            <w:r>
              <w:rPr>
                <w:rFonts w:hint="eastAsia" w:ascii="宋体" w:hAnsi="宋体" w:eastAsia="宋体" w:cs="宋体"/>
                <w:kern w:val="0"/>
                <w:sz w:val="20"/>
                <w:szCs w:val="20"/>
                <w:lang w:bidi="ar"/>
              </w:rPr>
              <w:t>分；</w:t>
            </w:r>
          </w:p>
          <w:p w14:paraId="1F4F362E">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没有售后服务方案不得分。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1AC7">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10</w:t>
            </w:r>
          </w:p>
        </w:tc>
      </w:tr>
      <w:tr w14:paraId="4E89E682">
        <w:tblPrEx>
          <w:tblCellMar>
            <w:top w:w="0" w:type="dxa"/>
            <w:left w:w="108" w:type="dxa"/>
            <w:bottom w:w="0" w:type="dxa"/>
            <w:right w:w="108" w:type="dxa"/>
          </w:tblCellMar>
        </w:tblPrEx>
        <w:trPr>
          <w:trHeight w:val="960" w:hRule="atLeast"/>
        </w:trPr>
        <w:tc>
          <w:tcPr>
            <w:tcW w:w="1121" w:type="dxa"/>
            <w:tcBorders>
              <w:top w:val="single" w:color="000000" w:sz="4" w:space="0"/>
              <w:left w:val="single" w:color="000000" w:sz="4" w:space="0"/>
              <w:bottom w:val="nil"/>
              <w:right w:val="single" w:color="000000" w:sz="4" w:space="0"/>
            </w:tcBorders>
            <w:shd w:val="clear" w:color="auto" w:fill="auto"/>
            <w:vAlign w:val="center"/>
          </w:tcPr>
          <w:p w14:paraId="5E2A15EE">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w:t>
            </w:r>
          </w:p>
        </w:tc>
        <w:tc>
          <w:tcPr>
            <w:tcW w:w="2533" w:type="dxa"/>
            <w:tcBorders>
              <w:top w:val="single" w:color="000000" w:sz="4" w:space="0"/>
              <w:left w:val="single" w:color="000000" w:sz="4" w:space="0"/>
              <w:bottom w:val="nil"/>
              <w:right w:val="single" w:color="000000" w:sz="4" w:space="0"/>
            </w:tcBorders>
            <w:shd w:val="clear" w:color="auto" w:fill="auto"/>
            <w:vAlign w:val="center"/>
          </w:tcPr>
          <w:p w14:paraId="2F3C05D0">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价格评分</w:t>
            </w:r>
          </w:p>
        </w:tc>
        <w:tc>
          <w:tcPr>
            <w:tcW w:w="4993" w:type="dxa"/>
            <w:tcBorders>
              <w:top w:val="single" w:color="000000" w:sz="4" w:space="0"/>
              <w:left w:val="single" w:color="000000" w:sz="4" w:space="0"/>
              <w:bottom w:val="nil"/>
              <w:right w:val="single" w:color="000000" w:sz="4" w:space="0"/>
            </w:tcBorders>
            <w:shd w:val="clear" w:color="auto" w:fill="auto"/>
            <w:vAlign w:val="center"/>
          </w:tcPr>
          <w:p w14:paraId="3BC2B919">
            <w:pPr>
              <w:widowControl/>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价格采用低价优先法计算，即满足招标需求且投标价格最低的投标价为评标基准价，其价格为满分，其他投标人的价格统一按照下列公式计算：投标报价得分=（评标基准/投标报价）×100×权重</w:t>
            </w:r>
          </w:p>
        </w:tc>
        <w:tc>
          <w:tcPr>
            <w:tcW w:w="1122" w:type="dxa"/>
            <w:tcBorders>
              <w:top w:val="single" w:color="000000" w:sz="4" w:space="0"/>
              <w:left w:val="single" w:color="000000" w:sz="4" w:space="0"/>
              <w:bottom w:val="nil"/>
              <w:right w:val="single" w:color="000000" w:sz="4" w:space="0"/>
            </w:tcBorders>
            <w:shd w:val="clear" w:color="auto" w:fill="auto"/>
            <w:noWrap/>
            <w:vAlign w:val="center"/>
          </w:tcPr>
          <w:p w14:paraId="1024BA66">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10</w:t>
            </w:r>
          </w:p>
        </w:tc>
      </w:tr>
      <w:tr w14:paraId="213BA846">
        <w:tblPrEx>
          <w:tblCellMar>
            <w:top w:w="0" w:type="dxa"/>
            <w:left w:w="108" w:type="dxa"/>
            <w:bottom w:w="0" w:type="dxa"/>
            <w:right w:w="108" w:type="dxa"/>
          </w:tblCellMar>
        </w:tblPrEx>
        <w:trPr>
          <w:trHeight w:val="264" w:hRule="atLeast"/>
        </w:trPr>
        <w:tc>
          <w:tcPr>
            <w:tcW w:w="8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1E998">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合计</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6C2F">
            <w:pPr>
              <w:widowControl/>
              <w:jc w:val="center"/>
              <w:textAlignment w:val="center"/>
              <w:rPr>
                <w:rFonts w:ascii="宋体" w:hAnsi="宋体" w:eastAsia="宋体" w:cs="宋体"/>
                <w:color w:val="000000"/>
                <w:sz w:val="20"/>
                <w:szCs w:val="20"/>
              </w:rPr>
            </w:pPr>
            <w:r>
              <w:rPr>
                <w:rFonts w:hint="eastAsia" w:ascii="宋体" w:hAnsi="宋体" w:eastAsia="宋体" w:cs="宋体"/>
                <w:kern w:val="0"/>
                <w:sz w:val="20"/>
                <w:szCs w:val="20"/>
                <w:lang w:bidi="ar"/>
              </w:rPr>
              <w:t>100</w:t>
            </w:r>
          </w:p>
        </w:tc>
      </w:tr>
    </w:tbl>
    <w:p w14:paraId="2AB98859">
      <w:r>
        <w:br w:type="page"/>
      </w:r>
    </w:p>
    <w:p w14:paraId="0E3B5952"/>
    <w:p w14:paraId="2A246A09">
      <w:pPr>
        <w:wordWrap w:val="0"/>
        <w:autoSpaceDE w:val="0"/>
        <w:autoSpaceDN w:val="0"/>
        <w:adjustRightInd w:val="0"/>
        <w:snapToGrid w:val="0"/>
        <w:spacing w:line="360" w:lineRule="auto"/>
        <w:ind w:firstLine="700" w:firstLineChars="250"/>
        <w:jc w:val="right"/>
        <w:rPr>
          <w:rFonts w:ascii="宋体"/>
          <w:sz w:val="28"/>
          <w:szCs w:val="28"/>
          <w:u w:val="single"/>
        </w:rPr>
      </w:pPr>
      <w:r>
        <w:rPr>
          <w:rFonts w:hint="eastAsia" w:ascii="宋体"/>
          <w:snapToGrid w:val="0"/>
          <w:sz w:val="28"/>
          <w:szCs w:val="28"/>
        </w:rPr>
        <w:t>合同编号：</w:t>
      </w:r>
      <w:r>
        <w:rPr>
          <w:rFonts w:hint="eastAsia" w:ascii="宋体"/>
          <w:snapToGrid w:val="0"/>
          <w:sz w:val="28"/>
          <w:szCs w:val="28"/>
          <w:u w:val="single"/>
        </w:rPr>
        <w:t xml:space="preserve">         </w:t>
      </w:r>
    </w:p>
    <w:p w14:paraId="0FBF440E">
      <w:pPr>
        <w:tabs>
          <w:tab w:val="left" w:pos="720"/>
        </w:tabs>
        <w:spacing w:line="360" w:lineRule="auto"/>
        <w:rPr>
          <w:rFonts w:ascii="宋体" w:hAnsi="宋体" w:cs="Arial"/>
          <w:b/>
          <w:sz w:val="24"/>
        </w:rPr>
      </w:pPr>
    </w:p>
    <w:p w14:paraId="1D053470">
      <w:pPr>
        <w:tabs>
          <w:tab w:val="left" w:pos="720"/>
        </w:tabs>
        <w:spacing w:line="360" w:lineRule="auto"/>
        <w:rPr>
          <w:rFonts w:ascii="宋体" w:hAnsi="宋体" w:cs="Arial"/>
          <w:b/>
          <w:sz w:val="72"/>
          <w:szCs w:val="72"/>
        </w:rPr>
      </w:pPr>
    </w:p>
    <w:p w14:paraId="41AF1861">
      <w:pPr>
        <w:spacing w:line="360" w:lineRule="auto"/>
        <w:jc w:val="center"/>
        <w:rPr>
          <w:rFonts w:ascii="宋体" w:hAnsi="宋体"/>
          <w:b/>
          <w:spacing w:val="80"/>
          <w:sz w:val="52"/>
          <w:szCs w:val="52"/>
        </w:rPr>
      </w:pPr>
      <w:r>
        <w:rPr>
          <w:rFonts w:hint="eastAsia" w:ascii="宋体" w:hAnsi="宋体"/>
          <w:b/>
          <w:spacing w:val="80"/>
          <w:sz w:val="52"/>
          <w:szCs w:val="52"/>
        </w:rPr>
        <w:t>采购合同</w:t>
      </w:r>
    </w:p>
    <w:p w14:paraId="6527E78D">
      <w:pPr>
        <w:autoSpaceDE w:val="0"/>
        <w:autoSpaceDN w:val="0"/>
        <w:adjustRightInd w:val="0"/>
        <w:snapToGrid w:val="0"/>
        <w:spacing w:line="360" w:lineRule="auto"/>
        <w:rPr>
          <w:rFonts w:ascii="宋体"/>
          <w:b/>
          <w:sz w:val="24"/>
        </w:rPr>
      </w:pPr>
    </w:p>
    <w:p w14:paraId="48E583C2">
      <w:pPr>
        <w:autoSpaceDE w:val="0"/>
        <w:autoSpaceDN w:val="0"/>
        <w:adjustRightInd w:val="0"/>
        <w:snapToGrid w:val="0"/>
        <w:spacing w:line="360" w:lineRule="auto"/>
        <w:rPr>
          <w:rFonts w:ascii="宋体" w:hAnsi="宋体"/>
          <w:b/>
          <w:sz w:val="30"/>
          <w:szCs w:val="30"/>
        </w:rPr>
      </w:pPr>
    </w:p>
    <w:p w14:paraId="0657C782">
      <w:pPr>
        <w:autoSpaceDE w:val="0"/>
        <w:autoSpaceDN w:val="0"/>
        <w:adjustRightInd w:val="0"/>
        <w:snapToGrid w:val="0"/>
        <w:spacing w:line="360" w:lineRule="auto"/>
        <w:rPr>
          <w:rFonts w:ascii="宋体" w:hAnsi="宋体"/>
          <w:b/>
          <w:sz w:val="30"/>
          <w:szCs w:val="30"/>
        </w:rPr>
      </w:pPr>
    </w:p>
    <w:p w14:paraId="048492F6">
      <w:pPr>
        <w:autoSpaceDE w:val="0"/>
        <w:autoSpaceDN w:val="0"/>
        <w:adjustRightInd w:val="0"/>
        <w:snapToGrid w:val="0"/>
        <w:spacing w:line="360" w:lineRule="auto"/>
        <w:rPr>
          <w:rFonts w:ascii="宋体" w:hAnsi="宋体"/>
          <w:b/>
          <w:sz w:val="30"/>
          <w:szCs w:val="30"/>
        </w:rPr>
      </w:pPr>
    </w:p>
    <w:p w14:paraId="1F4CB169">
      <w:pPr>
        <w:autoSpaceDE w:val="0"/>
        <w:autoSpaceDN w:val="0"/>
        <w:adjustRightInd w:val="0"/>
        <w:snapToGrid w:val="0"/>
        <w:spacing w:line="360" w:lineRule="auto"/>
        <w:ind w:left="440" w:leftChars="200" w:firstLine="380" w:firstLineChars="136"/>
        <w:rPr>
          <w:rFonts w:hint="default" w:ascii="宋体" w:hAnsi="宋体" w:eastAsia="minorEastAsia" w:cs="Cambria"/>
          <w:sz w:val="28"/>
          <w:szCs w:val="28"/>
          <w:u w:val="single"/>
          <w:lang w:val="en-US" w:eastAsia="zh-CN"/>
        </w:rPr>
      </w:pPr>
      <w:r>
        <w:rPr>
          <w:rFonts w:hint="eastAsia" w:ascii="宋体" w:hAnsi="宋体"/>
          <w:sz w:val="28"/>
          <w:szCs w:val="28"/>
        </w:rPr>
        <w:t>项目名称：</w:t>
      </w:r>
      <w:r>
        <w:rPr>
          <w:rFonts w:hint="eastAsia" w:ascii="宋体" w:hAnsi="宋体" w:cs="Cambria"/>
          <w:sz w:val="28"/>
          <w:szCs w:val="28"/>
          <w:u w:val="single"/>
        </w:rPr>
        <w:t>数据中台接口更新开发及信创适配服务项目</w:t>
      </w:r>
      <w:r>
        <w:rPr>
          <w:rFonts w:hint="eastAsia" w:ascii="宋体" w:hAnsi="宋体" w:cs="Cambria"/>
          <w:sz w:val="28"/>
          <w:szCs w:val="28"/>
          <w:u w:val="single"/>
          <w:lang w:val="en-US" w:eastAsia="zh-CN"/>
        </w:rPr>
        <w:t xml:space="preserve">     </w:t>
      </w:r>
    </w:p>
    <w:p w14:paraId="67584BA1">
      <w:pPr>
        <w:autoSpaceDE w:val="0"/>
        <w:autoSpaceDN w:val="0"/>
        <w:adjustRightInd w:val="0"/>
        <w:snapToGrid w:val="0"/>
        <w:spacing w:line="360" w:lineRule="auto"/>
        <w:ind w:left="440" w:leftChars="200" w:firstLine="380" w:firstLineChars="136"/>
        <w:rPr>
          <w:rFonts w:ascii="宋体"/>
          <w:sz w:val="28"/>
          <w:szCs w:val="28"/>
        </w:rPr>
      </w:pPr>
      <w:r>
        <w:rPr>
          <w:rFonts w:hint="eastAsia" w:ascii="宋体"/>
          <w:sz w:val="28"/>
          <w:szCs w:val="28"/>
        </w:rPr>
        <w:t>项目编号：</w:t>
      </w:r>
      <w:r>
        <w:rPr>
          <w:rFonts w:hint="eastAsia" w:ascii="宋体" w:cs="Cambria"/>
          <w:sz w:val="28"/>
          <w:szCs w:val="28"/>
          <w:u w:val="single"/>
        </w:rPr>
        <w:t xml:space="preserve"> </w:t>
      </w:r>
      <w:r>
        <w:rPr>
          <w:rFonts w:hint="eastAsia"/>
          <w:color w:val="000000"/>
          <w:lang w:val="en-US" w:eastAsia="zh-CN"/>
        </w:rPr>
        <w:t>GDSB202506</w:t>
      </w:r>
      <w:r>
        <w:rPr>
          <w:rFonts w:hint="eastAsia" w:ascii="宋体" w:cs="Cambria"/>
          <w:sz w:val="28"/>
          <w:szCs w:val="28"/>
          <w:u w:val="single"/>
        </w:rPr>
        <w:t xml:space="preserve">    </w:t>
      </w:r>
      <w:r>
        <w:rPr>
          <w:rFonts w:hint="eastAsia" w:ascii="宋体" w:cs="Cambria"/>
          <w:sz w:val="28"/>
          <w:szCs w:val="28"/>
          <w:u w:val="single"/>
          <w:lang w:val="en-US" w:eastAsia="zh-CN"/>
        </w:rPr>
        <w:t xml:space="preserve">                </w:t>
      </w:r>
      <w:r>
        <w:rPr>
          <w:rFonts w:hint="eastAsia" w:ascii="宋体" w:cs="Cambria"/>
          <w:sz w:val="28"/>
          <w:szCs w:val="28"/>
          <w:u w:val="single"/>
        </w:rPr>
        <w:t xml:space="preserve">          </w:t>
      </w:r>
      <w:r>
        <w:rPr>
          <w:rFonts w:hint="eastAsia" w:ascii="宋体" w:cs="Cambria"/>
          <w:sz w:val="28"/>
          <w:szCs w:val="28"/>
          <w:u w:val="single"/>
          <w:lang w:val="en-US" w:eastAsia="zh-CN"/>
        </w:rPr>
        <w:t xml:space="preserve">     </w:t>
      </w:r>
      <w:r>
        <w:rPr>
          <w:rFonts w:hint="eastAsia" w:ascii="宋体"/>
          <w:sz w:val="28"/>
          <w:szCs w:val="28"/>
          <w:u w:val="single"/>
        </w:rPr>
        <w:t xml:space="preserve">       </w:t>
      </w:r>
    </w:p>
    <w:p w14:paraId="2F176A7B">
      <w:pPr>
        <w:autoSpaceDE w:val="0"/>
        <w:autoSpaceDN w:val="0"/>
        <w:adjustRightInd w:val="0"/>
        <w:snapToGrid w:val="0"/>
        <w:spacing w:line="360" w:lineRule="auto"/>
        <w:ind w:left="440" w:leftChars="200" w:firstLine="380" w:firstLineChars="136"/>
        <w:rPr>
          <w:rFonts w:ascii="宋体"/>
          <w:sz w:val="28"/>
          <w:szCs w:val="28"/>
        </w:rPr>
      </w:pPr>
      <w:r>
        <w:rPr>
          <w:rFonts w:hint="eastAsia" w:ascii="宋体"/>
          <w:sz w:val="28"/>
          <w:szCs w:val="28"/>
        </w:rPr>
        <w:t>甲    方：</w:t>
      </w:r>
      <w:r>
        <w:rPr>
          <w:rFonts w:hint="eastAsia" w:ascii="宋体"/>
          <w:sz w:val="28"/>
          <w:szCs w:val="28"/>
          <w:u w:val="single"/>
        </w:rPr>
        <w:t xml:space="preserve">  广东省博物馆（广州鲁迅纪念馆）           </w:t>
      </w:r>
    </w:p>
    <w:p w14:paraId="708613D4">
      <w:pPr>
        <w:autoSpaceDE w:val="0"/>
        <w:autoSpaceDN w:val="0"/>
        <w:adjustRightInd w:val="0"/>
        <w:snapToGrid w:val="0"/>
        <w:spacing w:line="360" w:lineRule="auto"/>
        <w:ind w:left="440" w:leftChars="200" w:firstLine="380" w:firstLineChars="136"/>
        <w:rPr>
          <w:rFonts w:hint="default" w:ascii="宋体"/>
          <w:sz w:val="28"/>
          <w:szCs w:val="28"/>
          <w:lang w:val="en-US"/>
        </w:rPr>
      </w:pPr>
      <w:r>
        <w:rPr>
          <w:rFonts w:hint="eastAsia" w:ascii="宋体"/>
          <w:sz w:val="28"/>
          <w:szCs w:val="28"/>
        </w:rPr>
        <w:t>乙    方：</w:t>
      </w:r>
      <w:r>
        <w:rPr>
          <w:rFonts w:hint="eastAsia" w:ascii="宋体"/>
          <w:sz w:val="28"/>
          <w:szCs w:val="28"/>
          <w:u w:val="single"/>
        </w:rPr>
        <w:t xml:space="preserve">  </w:t>
      </w:r>
      <w:r>
        <w:rPr>
          <w:rFonts w:hint="eastAsia" w:ascii="宋体"/>
          <w:sz w:val="28"/>
          <w:szCs w:val="28"/>
          <w:u w:val="single"/>
          <w:lang w:val="en-US" w:eastAsia="zh-CN"/>
        </w:rPr>
        <w:t xml:space="preserve">                              </w:t>
      </w:r>
      <w:r>
        <w:rPr>
          <w:rFonts w:hint="eastAsia" w:ascii="宋体"/>
          <w:sz w:val="28"/>
          <w:szCs w:val="28"/>
          <w:u w:val="single"/>
        </w:rPr>
        <w:t xml:space="preserve">        </w:t>
      </w:r>
      <w:r>
        <w:rPr>
          <w:rFonts w:hint="eastAsia" w:ascii="宋体"/>
          <w:sz w:val="28"/>
          <w:szCs w:val="28"/>
          <w:u w:val="single"/>
          <w:lang w:val="en-US" w:eastAsia="zh-CN"/>
        </w:rPr>
        <w:t xml:space="preserve">   </w:t>
      </w:r>
    </w:p>
    <w:p w14:paraId="39611B18">
      <w:pPr>
        <w:autoSpaceDE w:val="0"/>
        <w:autoSpaceDN w:val="0"/>
        <w:adjustRightInd w:val="0"/>
        <w:snapToGrid w:val="0"/>
        <w:spacing w:line="360" w:lineRule="auto"/>
        <w:ind w:left="440" w:leftChars="200" w:firstLine="380" w:firstLineChars="136"/>
        <w:rPr>
          <w:rFonts w:ascii="宋体"/>
          <w:sz w:val="28"/>
          <w:szCs w:val="28"/>
        </w:rPr>
      </w:pPr>
      <w:r>
        <w:rPr>
          <w:rFonts w:hint="eastAsia" w:ascii="宋体"/>
          <w:sz w:val="28"/>
          <w:szCs w:val="28"/>
        </w:rPr>
        <w:t>签订地点：</w:t>
      </w:r>
      <w:r>
        <w:rPr>
          <w:rFonts w:hint="eastAsia" w:ascii="宋体" w:hAnsi="宋体" w:cs="Cambria"/>
          <w:sz w:val="28"/>
          <w:szCs w:val="28"/>
          <w:u w:val="single"/>
        </w:rPr>
        <w:t xml:space="preserve">          </w:t>
      </w:r>
      <w:r>
        <w:rPr>
          <w:rFonts w:hint="eastAsia" w:ascii="宋体" w:hAnsi="宋体" w:cs="Cambria"/>
          <w:sz w:val="28"/>
          <w:szCs w:val="28"/>
          <w:u w:val="single"/>
          <w:lang w:val="en-US" w:eastAsia="zh-CN"/>
        </w:rPr>
        <w:t>广东 广州</w:t>
      </w:r>
      <w:r>
        <w:rPr>
          <w:rFonts w:hint="eastAsia" w:ascii="宋体" w:hAnsi="宋体" w:cs="Cambria"/>
          <w:sz w:val="28"/>
          <w:szCs w:val="28"/>
          <w:u w:val="single"/>
        </w:rPr>
        <w:t xml:space="preserve">             </w:t>
      </w:r>
    </w:p>
    <w:p w14:paraId="52AC28F5">
      <w:pPr>
        <w:autoSpaceDE w:val="0"/>
        <w:autoSpaceDN w:val="0"/>
        <w:adjustRightInd w:val="0"/>
        <w:snapToGrid w:val="0"/>
        <w:spacing w:line="360" w:lineRule="auto"/>
        <w:ind w:left="440" w:leftChars="200" w:firstLine="380" w:firstLineChars="136"/>
        <w:rPr>
          <w:rFonts w:ascii="宋体"/>
          <w:sz w:val="28"/>
          <w:szCs w:val="28"/>
        </w:rPr>
      </w:pPr>
      <w:r>
        <w:rPr>
          <w:rFonts w:hint="eastAsia" w:ascii="宋体"/>
          <w:sz w:val="28"/>
          <w:szCs w:val="28"/>
        </w:rPr>
        <w:t>签订日期：</w:t>
      </w:r>
      <w:r>
        <w:rPr>
          <w:rFonts w:hint="eastAsia" w:ascii="宋体" w:hAnsi="宋体" w:cs="Cambria"/>
          <w:sz w:val="28"/>
          <w:szCs w:val="28"/>
          <w:u w:val="single"/>
        </w:rPr>
        <w:t xml:space="preserve">        </w:t>
      </w:r>
      <w:r>
        <w:rPr>
          <w:rFonts w:hint="eastAsia" w:ascii="宋体" w:hAnsi="宋体" w:cs="Cambria"/>
          <w:sz w:val="28"/>
          <w:szCs w:val="28"/>
          <w:u w:val="single"/>
          <w:lang w:val="en-US" w:eastAsia="zh-CN"/>
        </w:rPr>
        <w:t>2025年    月</w:t>
      </w:r>
      <w:r>
        <w:rPr>
          <w:rFonts w:hint="eastAsia" w:ascii="宋体" w:hAnsi="宋体" w:cs="Cambria"/>
          <w:sz w:val="28"/>
          <w:szCs w:val="28"/>
          <w:u w:val="single"/>
        </w:rPr>
        <w:t xml:space="preserve">            </w:t>
      </w:r>
    </w:p>
    <w:p w14:paraId="473B74D1">
      <w:pPr>
        <w:spacing w:line="360" w:lineRule="auto"/>
        <w:rPr>
          <w:b/>
          <w:bCs/>
          <w:sz w:val="24"/>
        </w:rPr>
      </w:pPr>
    </w:p>
    <w:p w14:paraId="3740FC3B">
      <w:pPr>
        <w:spacing w:line="360" w:lineRule="auto"/>
        <w:rPr>
          <w:b/>
          <w:bCs/>
          <w:sz w:val="24"/>
        </w:rPr>
      </w:pPr>
    </w:p>
    <w:p w14:paraId="12E31FC7">
      <w:pPr>
        <w:spacing w:line="360" w:lineRule="auto"/>
        <w:rPr>
          <w:b/>
          <w:bCs/>
          <w:sz w:val="24"/>
        </w:rPr>
      </w:pPr>
    </w:p>
    <w:p w14:paraId="5B939CCE">
      <w:pPr>
        <w:spacing w:line="360" w:lineRule="auto"/>
        <w:rPr>
          <w:b/>
          <w:bCs/>
          <w:sz w:val="24"/>
        </w:rPr>
      </w:pPr>
    </w:p>
    <w:p w14:paraId="0A5F24EC">
      <w:pPr>
        <w:spacing w:line="360" w:lineRule="auto"/>
        <w:rPr>
          <w:b/>
          <w:bCs/>
          <w:sz w:val="24"/>
        </w:rPr>
      </w:pPr>
    </w:p>
    <w:p w14:paraId="6BFDDB16">
      <w:pPr>
        <w:spacing w:line="360" w:lineRule="auto"/>
        <w:rPr>
          <w:b/>
          <w:bCs/>
          <w:sz w:val="24"/>
        </w:rPr>
      </w:pPr>
    </w:p>
    <w:p w14:paraId="690B0B24">
      <w:pPr>
        <w:spacing w:line="360" w:lineRule="auto"/>
        <w:rPr>
          <w:b/>
          <w:bCs/>
          <w:sz w:val="24"/>
        </w:rPr>
      </w:pPr>
    </w:p>
    <w:p w14:paraId="61BECFC4">
      <w:pPr>
        <w:spacing w:line="360" w:lineRule="auto"/>
        <w:rPr>
          <w:rFonts w:ascii="宋体" w:hAnsi="宋体"/>
          <w:b/>
          <w:sz w:val="21"/>
          <w:szCs w:val="21"/>
        </w:rPr>
      </w:pPr>
      <w:r>
        <w:rPr>
          <w:b/>
          <w:bCs/>
          <w:sz w:val="24"/>
        </w:rPr>
        <w:br w:type="page"/>
      </w:r>
      <w:r>
        <w:rPr>
          <w:rFonts w:hint="eastAsia" w:ascii="宋体" w:hAnsi="宋体"/>
          <w:b/>
          <w:sz w:val="21"/>
          <w:szCs w:val="21"/>
        </w:rPr>
        <w:t>甲    方：</w:t>
      </w:r>
      <w:r>
        <w:rPr>
          <w:rFonts w:hint="eastAsia" w:ascii="宋体"/>
          <w:sz w:val="21"/>
          <w:szCs w:val="21"/>
          <w:u w:val="single"/>
        </w:rPr>
        <w:t>广东省博物馆（广州鲁迅纪念馆）</w:t>
      </w:r>
    </w:p>
    <w:p w14:paraId="15803ECA">
      <w:pPr>
        <w:spacing w:line="360" w:lineRule="auto"/>
        <w:rPr>
          <w:rFonts w:hint="eastAsia" w:ascii="宋体" w:hAnsi="宋体"/>
          <w:sz w:val="21"/>
          <w:szCs w:val="21"/>
        </w:rPr>
      </w:pPr>
      <w:r>
        <w:rPr>
          <w:rFonts w:hint="eastAsia" w:ascii="宋体" w:hAnsi="宋体"/>
          <w:sz w:val="21"/>
          <w:szCs w:val="21"/>
        </w:rPr>
        <w:t>电    话：</w:t>
      </w:r>
      <w:r>
        <w:rPr>
          <w:rFonts w:hint="eastAsia" w:ascii="宋体" w:hAnsi="宋体"/>
          <w:sz w:val="21"/>
          <w:szCs w:val="21"/>
          <w:lang w:val="en-US" w:eastAsia="zh-CN"/>
        </w:rPr>
        <w:t>020-38046853</w:t>
      </w:r>
      <w:r>
        <w:rPr>
          <w:rFonts w:hint="eastAsia" w:ascii="宋体" w:hAnsi="宋体"/>
          <w:sz w:val="21"/>
          <w:szCs w:val="21"/>
        </w:rPr>
        <w:t xml:space="preserve">            </w:t>
      </w:r>
    </w:p>
    <w:p w14:paraId="5A3A003E">
      <w:pPr>
        <w:spacing w:line="360" w:lineRule="auto"/>
        <w:rPr>
          <w:rFonts w:hint="default" w:ascii="宋体" w:hAnsi="宋体"/>
          <w:sz w:val="21"/>
          <w:szCs w:val="21"/>
          <w:lang w:val="en-US" w:eastAsia="zh-CN"/>
        </w:rPr>
      </w:pPr>
      <w:r>
        <w:rPr>
          <w:rFonts w:hint="eastAsia" w:ascii="宋体" w:hAnsi="宋体"/>
          <w:sz w:val="21"/>
          <w:szCs w:val="21"/>
          <w:lang w:val="en-US" w:eastAsia="zh-CN"/>
        </w:rPr>
        <w:t xml:space="preserve">联系人：姚爽 </w:t>
      </w:r>
    </w:p>
    <w:p w14:paraId="297BA4C1">
      <w:pPr>
        <w:spacing w:line="360" w:lineRule="auto"/>
        <w:rPr>
          <w:rFonts w:hint="eastAsia" w:ascii="宋体" w:hAnsi="宋体"/>
          <w:sz w:val="21"/>
          <w:szCs w:val="21"/>
          <w:lang w:val="en-US" w:eastAsia="zh-CN"/>
        </w:rPr>
      </w:pPr>
      <w:r>
        <w:rPr>
          <w:rFonts w:hint="eastAsia" w:ascii="宋体" w:hAnsi="宋体"/>
          <w:sz w:val="21"/>
          <w:szCs w:val="21"/>
        </w:rPr>
        <w:t>地  址：</w:t>
      </w:r>
      <w:r>
        <w:rPr>
          <w:rFonts w:hint="eastAsia" w:ascii="宋体" w:hAnsi="宋体"/>
          <w:sz w:val="21"/>
          <w:szCs w:val="21"/>
          <w:lang w:val="en-US" w:eastAsia="zh-CN"/>
        </w:rPr>
        <w:t>广州市天河区珠江东路2号</w:t>
      </w:r>
    </w:p>
    <w:p w14:paraId="18FDEF0F">
      <w:pPr>
        <w:spacing w:line="360" w:lineRule="auto"/>
        <w:rPr>
          <w:rFonts w:hint="default" w:ascii="宋体" w:hAnsi="宋体"/>
          <w:sz w:val="21"/>
          <w:szCs w:val="21"/>
          <w:lang w:val="en-US" w:eastAsia="zh-CN"/>
        </w:rPr>
      </w:pPr>
    </w:p>
    <w:p w14:paraId="2E45C266">
      <w:pPr>
        <w:spacing w:line="360" w:lineRule="auto"/>
        <w:rPr>
          <w:rFonts w:ascii="宋体" w:hAnsi="宋体" w:eastAsia="宋体" w:cs="宋体"/>
          <w:i w:val="0"/>
          <w:iCs w:val="0"/>
          <w:caps w:val="0"/>
          <w:color w:val="000000"/>
          <w:spacing w:val="0"/>
          <w:sz w:val="21"/>
          <w:szCs w:val="21"/>
          <w:u w:val="single"/>
        </w:rPr>
      </w:pPr>
      <w:r>
        <w:rPr>
          <w:rFonts w:hint="eastAsia" w:ascii="宋体" w:hAnsi="宋体"/>
          <w:b/>
          <w:sz w:val="21"/>
          <w:szCs w:val="21"/>
        </w:rPr>
        <w:t>乙    方：</w:t>
      </w:r>
      <w:r>
        <w:rPr>
          <w:rFonts w:hint="eastAsia" w:ascii="PMingLiU" w:hAnsi="PMingLiU" w:eastAsia="宋体" w:cs="PMingLiU"/>
          <w:i w:val="0"/>
          <w:iCs w:val="0"/>
          <w:caps w:val="0"/>
          <w:color w:val="000000"/>
          <w:spacing w:val="0"/>
          <w:sz w:val="21"/>
          <w:szCs w:val="21"/>
          <w:u w:val="single"/>
          <w:lang w:val="en-US" w:eastAsia="zh-CN"/>
        </w:rPr>
        <w:t xml:space="preserve">                                   </w:t>
      </w:r>
      <w:r>
        <w:rPr>
          <w:rFonts w:hint="eastAsia" w:ascii="宋体" w:hAnsi="宋体"/>
          <w:b/>
          <w:sz w:val="21"/>
          <w:szCs w:val="21"/>
        </w:rPr>
        <w:br w:type="textWrapping"/>
      </w:r>
      <w:r>
        <w:rPr>
          <w:rFonts w:hint="eastAsia" w:ascii="宋体" w:hAnsi="宋体"/>
          <w:sz w:val="21"/>
          <w:szCs w:val="21"/>
        </w:rPr>
        <w:t>电    话：</w:t>
      </w:r>
    </w:p>
    <w:p w14:paraId="55D89D71">
      <w:pPr>
        <w:spacing w:line="360" w:lineRule="auto"/>
        <w:rPr>
          <w:rFonts w:hint="default" w:ascii="宋体" w:hAnsi="宋体"/>
          <w:sz w:val="21"/>
          <w:szCs w:val="21"/>
          <w:lang w:val="en-US" w:eastAsia="zh-CN"/>
        </w:rPr>
      </w:pPr>
      <w:r>
        <w:rPr>
          <w:rFonts w:hint="eastAsia" w:ascii="宋体" w:hAnsi="宋体"/>
          <w:sz w:val="21"/>
          <w:szCs w:val="21"/>
          <w:lang w:val="en-US" w:eastAsia="zh-CN"/>
        </w:rPr>
        <w:t>联系人：</w:t>
      </w:r>
    </w:p>
    <w:p w14:paraId="1C228A88">
      <w:pPr>
        <w:spacing w:line="360" w:lineRule="auto"/>
        <w:rPr>
          <w:rFonts w:hint="eastAsia" w:ascii="宋体" w:hAnsi="宋体"/>
          <w:sz w:val="21"/>
          <w:szCs w:val="21"/>
          <w:u w:val="single"/>
        </w:rPr>
      </w:pPr>
      <w:r>
        <w:rPr>
          <w:rFonts w:hint="eastAsia" w:ascii="宋体" w:hAnsi="宋体"/>
          <w:sz w:val="21"/>
          <w:szCs w:val="21"/>
        </w:rPr>
        <w:t>地  址：</w:t>
      </w:r>
    </w:p>
    <w:p w14:paraId="3516CCCD">
      <w:pPr>
        <w:spacing w:line="360" w:lineRule="auto"/>
        <w:rPr>
          <w:rFonts w:ascii="宋体" w:hAnsi="宋体"/>
          <w:sz w:val="21"/>
          <w:szCs w:val="21"/>
        </w:rPr>
      </w:pPr>
    </w:p>
    <w:p w14:paraId="440D7633">
      <w:pPr>
        <w:spacing w:line="360" w:lineRule="auto"/>
        <w:ind w:firstLine="420" w:firstLineChars="200"/>
        <w:rPr>
          <w:rFonts w:ascii="宋体" w:hAnsi="宋体"/>
          <w:sz w:val="21"/>
          <w:szCs w:val="21"/>
        </w:rPr>
      </w:pPr>
      <w:r>
        <w:rPr>
          <w:rFonts w:hint="eastAsia" w:ascii="宋体" w:hAnsi="宋体"/>
          <w:sz w:val="21"/>
          <w:szCs w:val="21"/>
        </w:rPr>
        <w:t xml:space="preserve">根据 </w:t>
      </w:r>
      <w:r>
        <w:rPr>
          <w:rFonts w:hint="eastAsia" w:ascii="宋体" w:hAnsi="宋体"/>
          <w:sz w:val="21"/>
          <w:szCs w:val="21"/>
          <w:u w:val="single"/>
        </w:rPr>
        <w:t xml:space="preserve"> </w:t>
      </w:r>
      <w:r>
        <w:rPr>
          <w:rFonts w:hint="eastAsia" w:ascii="宋体" w:hAnsi="宋体"/>
          <w:sz w:val="21"/>
          <w:szCs w:val="21"/>
          <w:u w:val="single"/>
          <w:lang w:val="en-US" w:eastAsia="zh-CN"/>
        </w:rPr>
        <w:t xml:space="preserve">   数据中台接口更新开发及信创适配服务项目    </w:t>
      </w:r>
      <w:r>
        <w:rPr>
          <w:rFonts w:hint="eastAsia" w:ascii="宋体" w:hAnsi="宋体"/>
          <w:sz w:val="21"/>
          <w:szCs w:val="21"/>
        </w:rPr>
        <w:t>的采购结果，按照《中华人民共和国政府采购法</w:t>
      </w:r>
      <w:r>
        <w:rPr>
          <w:rFonts w:hint="eastAsia" w:ascii="宋体" w:hAnsi="宋体"/>
          <w:sz w:val="21"/>
          <w:szCs w:val="21"/>
          <w:lang w:eastAsia="zh-CN"/>
        </w:rPr>
        <w:t>》《</w:t>
      </w:r>
      <w:r>
        <w:rPr>
          <w:rFonts w:hint="eastAsia" w:ascii="宋体" w:hAnsi="宋体"/>
          <w:sz w:val="21"/>
          <w:szCs w:val="21"/>
        </w:rPr>
        <w:t>中华人民共和国民法典(合同编)》的规定，</w:t>
      </w:r>
      <w:r>
        <w:rPr>
          <w:rFonts w:hint="eastAsia" w:ascii="宋体" w:hAnsi="宋体"/>
          <w:kern w:val="28"/>
          <w:sz w:val="21"/>
          <w:szCs w:val="21"/>
        </w:rPr>
        <w:t>经双方协商，</w:t>
      </w:r>
      <w:r>
        <w:rPr>
          <w:rFonts w:hint="eastAsia" w:ascii="宋体" w:hAnsi="宋体"/>
          <w:sz w:val="21"/>
          <w:szCs w:val="21"/>
        </w:rPr>
        <w:t>本着平等互利和诚实信用的原则，</w:t>
      </w:r>
      <w:r>
        <w:rPr>
          <w:rFonts w:hint="eastAsia" w:ascii="宋体" w:hAnsi="宋体"/>
          <w:kern w:val="28"/>
          <w:sz w:val="21"/>
          <w:szCs w:val="21"/>
        </w:rPr>
        <w:t>一致同意签订本合同如下</w:t>
      </w:r>
      <w:r>
        <w:rPr>
          <w:rFonts w:hint="eastAsia" w:ascii="宋体" w:hAnsi="宋体"/>
          <w:sz w:val="21"/>
          <w:szCs w:val="21"/>
        </w:rPr>
        <w:t>。</w:t>
      </w:r>
    </w:p>
    <w:p w14:paraId="2C95A694">
      <w:pPr>
        <w:spacing w:line="360" w:lineRule="auto"/>
        <w:rPr>
          <w:rFonts w:ascii="宋体" w:hAnsi="宋体"/>
          <w:b/>
          <w:sz w:val="21"/>
          <w:szCs w:val="21"/>
        </w:rPr>
      </w:pPr>
      <w:r>
        <w:rPr>
          <w:rFonts w:hint="eastAsia" w:ascii="宋体" w:hAnsi="宋体"/>
          <w:b/>
          <w:sz w:val="21"/>
          <w:szCs w:val="21"/>
        </w:rPr>
        <w:t>一、合同金额</w:t>
      </w:r>
    </w:p>
    <w:p w14:paraId="468C67C1">
      <w:pPr>
        <w:spacing w:afterAutospacing="0" w:line="360" w:lineRule="auto"/>
        <w:rPr>
          <w:rFonts w:ascii="宋体" w:hAnsi="宋体"/>
          <w:sz w:val="21"/>
          <w:szCs w:val="21"/>
        </w:rPr>
      </w:pPr>
      <w:r>
        <w:rPr>
          <w:rFonts w:hint="eastAsia" w:ascii="宋体" w:hAnsi="宋体"/>
          <w:sz w:val="21"/>
          <w:szCs w:val="21"/>
        </w:rPr>
        <w:t>合同金额为￥</w:t>
      </w:r>
      <w:r>
        <w:rPr>
          <w:rFonts w:hint="eastAsia" w:ascii="宋体" w:hAnsi="宋体"/>
          <w:sz w:val="21"/>
          <w:szCs w:val="21"/>
          <w:lang w:val="en-US" w:eastAsia="zh-CN"/>
        </w:rPr>
        <w:t xml:space="preserve">    </w:t>
      </w:r>
      <w:r>
        <w:rPr>
          <w:rFonts w:hint="eastAsia" w:ascii="宋体" w:hAnsi="宋体"/>
          <w:sz w:val="21"/>
          <w:szCs w:val="21"/>
        </w:rPr>
        <w:t>元（大写：人民币</w:t>
      </w:r>
      <w:r>
        <w:rPr>
          <w:rFonts w:hint="eastAsia" w:ascii="宋体" w:hAnsi="宋体"/>
          <w:sz w:val="21"/>
          <w:szCs w:val="21"/>
          <w:u w:val="single"/>
          <w:lang w:val="en-US" w:eastAsia="zh-CN"/>
        </w:rPr>
        <w:t xml:space="preserve">  </w:t>
      </w:r>
      <w:r>
        <w:rPr>
          <w:rFonts w:hint="eastAsia" w:ascii="宋体" w:hAnsi="宋体"/>
          <w:sz w:val="21"/>
          <w:szCs w:val="21"/>
        </w:rPr>
        <w:t>元）。</w:t>
      </w:r>
    </w:p>
    <w:p w14:paraId="77E328D6">
      <w:pPr>
        <w:keepNext w:val="0"/>
        <w:keepLines w:val="0"/>
        <w:pageBreakBefore w:val="0"/>
        <w:widowControl w:val="0"/>
        <w:tabs>
          <w:tab w:val="left" w:pos="424"/>
        </w:tabs>
        <w:kinsoku/>
        <w:wordWrap/>
        <w:overflowPunct/>
        <w:topLinePunct w:val="0"/>
        <w:autoSpaceDE/>
        <w:autoSpaceDN/>
        <w:bidi w:val="0"/>
        <w:snapToGrid w:val="0"/>
        <w:spacing w:before="159" w:beforeLines="50" w:beforeAutospacing="0" w:line="360" w:lineRule="auto"/>
        <w:textAlignment w:val="auto"/>
        <w:rPr>
          <w:rFonts w:hint="eastAsia" w:ascii="宋体" w:hAnsi="宋体" w:eastAsia="宋体" w:cs="宋体"/>
          <w:b/>
          <w:color w:val="auto"/>
          <w:sz w:val="21"/>
          <w:szCs w:val="21"/>
          <w:highlight w:val="none"/>
          <w:lang w:eastAsia="zh-CN"/>
        </w:rPr>
      </w:pPr>
      <w:r>
        <w:rPr>
          <w:rFonts w:hint="eastAsia" w:ascii="宋体" w:hAnsi="宋体" w:cs="宋体"/>
          <w:b/>
          <w:color w:val="auto"/>
          <w:kern w:val="2"/>
          <w:sz w:val="21"/>
          <w:szCs w:val="21"/>
          <w:highlight w:val="none"/>
        </w:rPr>
        <w:t>二、</w:t>
      </w:r>
      <w:r>
        <w:rPr>
          <w:rFonts w:hint="eastAsia" w:ascii="宋体" w:hAnsi="宋体" w:cs="宋体"/>
          <w:b/>
          <w:color w:val="auto"/>
          <w:sz w:val="21"/>
          <w:szCs w:val="21"/>
          <w:highlight w:val="none"/>
          <w:lang w:eastAsia="zh-CN"/>
        </w:rPr>
        <w:t>改造内容</w:t>
      </w:r>
    </w:p>
    <w:tbl>
      <w:tblPr>
        <w:tblStyle w:val="12"/>
        <w:tblW w:w="4996" w:type="pct"/>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autofit"/>
        <w:tblCellMar>
          <w:top w:w="0" w:type="dxa"/>
          <w:left w:w="108" w:type="dxa"/>
          <w:bottom w:w="0" w:type="dxa"/>
          <w:right w:w="108" w:type="dxa"/>
        </w:tblCellMar>
      </w:tblPr>
      <w:tblGrid>
        <w:gridCol w:w="806"/>
        <w:gridCol w:w="1274"/>
        <w:gridCol w:w="2329"/>
        <w:gridCol w:w="4871"/>
      </w:tblGrid>
      <w:tr w14:paraId="04471A0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170B725">
            <w:pPr>
              <w:snapToGrid/>
              <w:spacing w:before="0" w:after="0" w:line="240" w:lineRule="auto"/>
              <w:jc w:val="center"/>
              <w:rPr>
                <w:b/>
                <w:sz w:val="21"/>
                <w:szCs w:val="21"/>
              </w:rPr>
            </w:pPr>
            <w:r>
              <w:rPr>
                <w:rFonts w:ascii="宋体" w:hAnsi="宋体" w:eastAsia="宋体" w:cs="宋体"/>
                <w:b/>
                <w:i w:val="0"/>
                <w:strike w:val="0"/>
                <w:color w:val="000000"/>
                <w:spacing w:val="0"/>
                <w:sz w:val="21"/>
                <w:szCs w:val="21"/>
                <w:u w:val="none"/>
              </w:rPr>
              <w:t>序号</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3B66A06">
            <w:pPr>
              <w:snapToGrid/>
              <w:spacing w:before="0" w:after="0" w:line="240" w:lineRule="auto"/>
              <w:jc w:val="center"/>
              <w:rPr>
                <w:b/>
                <w:sz w:val="21"/>
                <w:szCs w:val="21"/>
              </w:rPr>
            </w:pPr>
            <w:r>
              <w:rPr>
                <w:rFonts w:ascii="宋体" w:hAnsi="宋体" w:eastAsia="宋体" w:cs="宋体"/>
                <w:b/>
                <w:i w:val="0"/>
                <w:strike w:val="0"/>
                <w:color w:val="000000"/>
                <w:spacing w:val="0"/>
                <w:sz w:val="21"/>
                <w:szCs w:val="21"/>
                <w:u w:val="none"/>
              </w:rPr>
              <w:t>模块</w:t>
            </w:r>
          </w:p>
        </w:tc>
        <w:tc>
          <w:tcPr>
            <w:tcW w:w="1254" w:type="pct"/>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539C542">
            <w:pPr>
              <w:snapToGrid/>
              <w:spacing w:before="0" w:after="0" w:line="240" w:lineRule="auto"/>
              <w:jc w:val="center"/>
              <w:rPr>
                <w:b/>
                <w:sz w:val="21"/>
                <w:szCs w:val="21"/>
              </w:rPr>
            </w:pPr>
            <w:r>
              <w:rPr>
                <w:rFonts w:ascii="宋体" w:hAnsi="宋体" w:eastAsia="宋体" w:cs="宋体"/>
                <w:b/>
                <w:i w:val="0"/>
                <w:strike w:val="0"/>
                <w:color w:val="000000"/>
                <w:spacing w:val="0"/>
                <w:sz w:val="21"/>
                <w:szCs w:val="21"/>
                <w:u w:val="none"/>
              </w:rPr>
              <w:t>子模块</w:t>
            </w:r>
          </w:p>
        </w:tc>
        <w:tc>
          <w:tcPr>
            <w:tcW w:w="2623" w:type="pct"/>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63344337">
            <w:pPr>
              <w:snapToGrid/>
              <w:spacing w:before="0" w:after="0" w:line="240" w:lineRule="auto"/>
              <w:jc w:val="center"/>
              <w:rPr>
                <w:b/>
                <w:sz w:val="21"/>
                <w:szCs w:val="21"/>
              </w:rPr>
            </w:pPr>
            <w:r>
              <w:rPr>
                <w:rFonts w:ascii="宋体" w:hAnsi="宋体" w:eastAsia="宋体" w:cs="宋体"/>
                <w:b/>
                <w:i w:val="0"/>
                <w:strike w:val="0"/>
                <w:color w:val="000000"/>
                <w:spacing w:val="0"/>
                <w:sz w:val="21"/>
                <w:szCs w:val="21"/>
                <w:u w:val="none"/>
              </w:rPr>
              <w:t>描述</w:t>
            </w:r>
          </w:p>
        </w:tc>
      </w:tr>
      <w:tr w14:paraId="6806D1B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4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518D4B20">
            <w:pPr>
              <w:snapToGrid/>
              <w:spacing w:before="0" w:after="0" w:line="240" w:lineRule="auto"/>
              <w:jc w:val="center"/>
              <w:rPr>
                <w:sz w:val="21"/>
                <w:szCs w:val="21"/>
              </w:rPr>
            </w:pPr>
            <w:r>
              <w:rPr>
                <w:rFonts w:ascii="宋体" w:hAnsi="宋体" w:eastAsia="宋体" w:cs="宋体"/>
                <w:i w:val="0"/>
                <w:strike w:val="0"/>
                <w:color w:val="000000"/>
                <w:spacing w:val="0"/>
                <w:sz w:val="21"/>
                <w:szCs w:val="21"/>
                <w:u w:val="none"/>
              </w:rPr>
              <w:t>1</w:t>
            </w:r>
          </w:p>
        </w:tc>
        <w:tc>
          <w:tcPr>
            <w:tcW w:w="686" w:type="pct"/>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14:paraId="0B68083C">
            <w:pPr>
              <w:snapToGrid/>
              <w:spacing w:before="0" w:after="0" w:line="240" w:lineRule="auto"/>
              <w:rPr>
                <w:sz w:val="21"/>
                <w:szCs w:val="21"/>
              </w:rPr>
            </w:pPr>
            <w:r>
              <w:rPr>
                <w:rFonts w:ascii="宋体" w:hAnsi="宋体" w:eastAsia="宋体" w:cs="宋体"/>
                <w:i w:val="0"/>
                <w:strike w:val="0"/>
                <w:color w:val="000000"/>
                <w:spacing w:val="0"/>
                <w:sz w:val="21"/>
                <w:szCs w:val="21"/>
                <w:u w:val="none"/>
              </w:rPr>
              <w:t>数据源对接与处理</w:t>
            </w: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7A60A7B1">
            <w:pPr>
              <w:snapToGrid/>
              <w:spacing w:before="0" w:after="0" w:line="240" w:lineRule="auto"/>
              <w:rPr>
                <w:sz w:val="21"/>
                <w:szCs w:val="21"/>
              </w:rPr>
            </w:pPr>
            <w:r>
              <w:rPr>
                <w:rFonts w:ascii="宋体" w:hAnsi="宋体" w:eastAsia="宋体" w:cs="宋体"/>
                <w:i w:val="0"/>
                <w:strike w:val="0"/>
                <w:color w:val="000000"/>
                <w:spacing w:val="0"/>
                <w:sz w:val="21"/>
                <w:szCs w:val="21"/>
                <w:u w:val="none"/>
              </w:rPr>
              <w:t>对接</w:t>
            </w:r>
            <w:r>
              <w:rPr>
                <w:rFonts w:hint="eastAsia" w:ascii="宋体" w:hAnsi="宋体" w:eastAsia="宋体" w:cs="宋体"/>
                <w:i w:val="0"/>
                <w:strike w:val="0"/>
                <w:color w:val="000000"/>
                <w:spacing w:val="0"/>
                <w:sz w:val="21"/>
                <w:szCs w:val="21"/>
                <w:u w:val="none"/>
                <w:lang w:val="en-US" w:eastAsia="zh-CN"/>
              </w:rPr>
              <w:t>LBS大</w:t>
            </w:r>
            <w:r>
              <w:rPr>
                <w:rFonts w:ascii="宋体" w:hAnsi="宋体" w:eastAsia="宋体" w:cs="宋体"/>
                <w:i w:val="0"/>
                <w:strike w:val="0"/>
                <w:color w:val="000000"/>
                <w:spacing w:val="0"/>
                <w:sz w:val="21"/>
                <w:szCs w:val="21"/>
                <w:u w:val="none"/>
              </w:rPr>
              <w:t>数据</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3CBB654A">
            <w:pPr>
              <w:snapToGrid/>
              <w:spacing w:before="0" w:after="0" w:line="240" w:lineRule="auto"/>
              <w:rPr>
                <w:sz w:val="21"/>
                <w:szCs w:val="21"/>
              </w:rPr>
            </w:pPr>
            <w:r>
              <w:rPr>
                <w:rFonts w:hint="eastAsia" w:ascii="宋体" w:hAnsi="宋体" w:eastAsia="宋体" w:cs="宋体"/>
                <w:i w:val="0"/>
                <w:strike w:val="0"/>
                <w:color w:val="000000"/>
                <w:spacing w:val="0"/>
                <w:sz w:val="21"/>
                <w:szCs w:val="21"/>
                <w:u w:val="none"/>
              </w:rPr>
              <w:t>提供LBS大数据深化对接服务。根据客情分析需求，配置和调用LBS相关服务接口，实现基础画像、消费画像、偏好画像等数据的抽取与传输，并将其统一纳入数据中台管理。</w:t>
            </w:r>
          </w:p>
        </w:tc>
      </w:tr>
      <w:tr w14:paraId="751039E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785F8D97">
            <w:pPr>
              <w:snapToGrid/>
              <w:spacing w:before="0" w:after="0" w:line="240" w:lineRule="auto"/>
              <w:jc w:val="center"/>
              <w:rPr>
                <w:sz w:val="21"/>
                <w:szCs w:val="21"/>
              </w:rPr>
            </w:pPr>
            <w:r>
              <w:rPr>
                <w:rFonts w:ascii="宋体" w:hAnsi="宋体" w:eastAsia="宋体" w:cs="宋体"/>
                <w:i w:val="0"/>
                <w:strike w:val="0"/>
                <w:color w:val="000000"/>
                <w:spacing w:val="0"/>
                <w:sz w:val="21"/>
                <w:szCs w:val="21"/>
                <w:u w:val="none"/>
              </w:rPr>
              <w:t>2</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1E19F61F">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47F50DC1">
            <w:pPr>
              <w:snapToGrid/>
              <w:spacing w:before="0" w:after="0" w:line="240" w:lineRule="auto"/>
              <w:rPr>
                <w:sz w:val="21"/>
                <w:szCs w:val="21"/>
              </w:rPr>
            </w:pPr>
            <w:r>
              <w:rPr>
                <w:rFonts w:ascii="宋体" w:hAnsi="宋体" w:eastAsia="宋体" w:cs="宋体"/>
                <w:i w:val="0"/>
                <w:strike w:val="0"/>
                <w:color w:val="000000"/>
                <w:spacing w:val="0"/>
                <w:sz w:val="21"/>
                <w:szCs w:val="21"/>
                <w:u w:val="none"/>
              </w:rPr>
              <w:t>数据存储与管理</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0EB237BE">
            <w:pPr>
              <w:snapToGrid/>
              <w:spacing w:before="0" w:after="0" w:line="240" w:lineRule="auto"/>
              <w:rPr>
                <w:sz w:val="21"/>
                <w:szCs w:val="21"/>
              </w:rPr>
            </w:pPr>
            <w:r>
              <w:rPr>
                <w:rFonts w:ascii="宋体" w:hAnsi="宋体" w:eastAsia="宋体" w:cs="宋体"/>
                <w:i w:val="0"/>
                <w:strike w:val="0"/>
                <w:color w:val="000000"/>
                <w:spacing w:val="0"/>
                <w:sz w:val="21"/>
                <w:szCs w:val="21"/>
                <w:u w:val="none"/>
              </w:rPr>
              <w:t>获取数据源后进行存储、管理和备份。系统会将数据分门别类地进行归档，并采用数据库管理工具进行存储，以确保数据的安全性与可访问性。</w:t>
            </w:r>
          </w:p>
        </w:tc>
      </w:tr>
      <w:tr w14:paraId="493424F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79AED930">
            <w:pPr>
              <w:snapToGrid/>
              <w:spacing w:before="0" w:after="0" w:line="240" w:lineRule="auto"/>
              <w:jc w:val="center"/>
              <w:rPr>
                <w:sz w:val="21"/>
                <w:szCs w:val="21"/>
              </w:rPr>
            </w:pPr>
            <w:r>
              <w:rPr>
                <w:rFonts w:ascii="宋体" w:hAnsi="宋体" w:eastAsia="宋体" w:cs="宋体"/>
                <w:i w:val="0"/>
                <w:strike w:val="0"/>
                <w:color w:val="000000"/>
                <w:spacing w:val="0"/>
                <w:sz w:val="21"/>
                <w:szCs w:val="21"/>
                <w:u w:val="none"/>
              </w:rPr>
              <w:t>3</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200F2B0A">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1BB8606A">
            <w:pPr>
              <w:snapToGrid/>
              <w:spacing w:before="0" w:after="0" w:line="240" w:lineRule="auto"/>
              <w:rPr>
                <w:sz w:val="21"/>
                <w:szCs w:val="21"/>
              </w:rPr>
            </w:pPr>
            <w:r>
              <w:rPr>
                <w:rFonts w:ascii="宋体" w:hAnsi="宋体" w:eastAsia="宋体" w:cs="宋体"/>
                <w:i w:val="0"/>
                <w:strike w:val="0"/>
                <w:color w:val="000000"/>
                <w:spacing w:val="0"/>
                <w:sz w:val="21"/>
                <w:szCs w:val="21"/>
                <w:u w:val="none"/>
              </w:rPr>
              <w:t>数据清洗与预处理</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74CDF725">
            <w:pPr>
              <w:snapToGrid/>
              <w:spacing w:before="0" w:after="0" w:line="240" w:lineRule="auto"/>
              <w:rPr>
                <w:sz w:val="21"/>
                <w:szCs w:val="21"/>
              </w:rPr>
            </w:pPr>
            <w:r>
              <w:rPr>
                <w:rFonts w:ascii="宋体" w:hAnsi="宋体" w:eastAsia="宋体" w:cs="宋体"/>
                <w:i w:val="0"/>
                <w:strike w:val="0"/>
                <w:color w:val="000000"/>
                <w:spacing w:val="0"/>
                <w:sz w:val="21"/>
                <w:szCs w:val="21"/>
                <w:u w:val="none"/>
              </w:rPr>
              <w:t>数据清洗、筛选和后处理。包括去除重复数据、修正数据格式问题、填补缺失值等，确保后续分析的数据质量。</w:t>
            </w:r>
          </w:p>
        </w:tc>
      </w:tr>
      <w:tr w14:paraId="1875FF5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50D3C527">
            <w:pPr>
              <w:snapToGrid/>
              <w:spacing w:before="0" w:after="0" w:line="240" w:lineRule="auto"/>
              <w:jc w:val="center"/>
              <w:rPr>
                <w:rFonts w:hint="eastAsia" w:eastAsia="minorEastAsia"/>
                <w:sz w:val="21"/>
                <w:szCs w:val="21"/>
                <w:lang w:eastAsia="zh-CN"/>
              </w:rPr>
            </w:pPr>
            <w:r>
              <w:rPr>
                <w:rFonts w:hint="eastAsia" w:ascii="宋体" w:hAnsi="宋体" w:eastAsia="宋体" w:cs="宋体"/>
                <w:i w:val="0"/>
                <w:strike w:val="0"/>
                <w:color w:val="000000"/>
                <w:spacing w:val="0"/>
                <w:sz w:val="21"/>
                <w:szCs w:val="21"/>
                <w:u w:val="none"/>
                <w:lang w:val="en-US" w:eastAsia="zh-CN"/>
              </w:rPr>
              <w:t>4</w:t>
            </w:r>
          </w:p>
        </w:tc>
        <w:tc>
          <w:tcPr>
            <w:tcW w:w="686" w:type="pct"/>
            <w:tcBorders>
              <w:top w:val="single" w:color="000000" w:sz="4" w:space="0"/>
              <w:left w:val="single" w:color="000000" w:sz="4" w:space="0"/>
              <w:bottom w:val="single" w:color="000000" w:sz="4" w:space="0"/>
              <w:right w:val="single" w:color="000000" w:sz="4" w:space="0"/>
            </w:tcBorders>
            <w:tcMar>
              <w:bottom w:w="0" w:type="dxa"/>
            </w:tcMar>
            <w:vAlign w:val="center"/>
          </w:tcPr>
          <w:p w14:paraId="42462281">
            <w:pPr>
              <w:snapToGrid/>
              <w:spacing w:before="0" w:after="0" w:line="240" w:lineRule="auto"/>
              <w:rPr>
                <w:sz w:val="21"/>
                <w:szCs w:val="21"/>
              </w:rPr>
            </w:pPr>
            <w:r>
              <w:rPr>
                <w:rFonts w:ascii="宋体" w:hAnsi="宋体" w:eastAsia="宋体" w:cs="宋体"/>
                <w:i w:val="0"/>
                <w:strike w:val="0"/>
                <w:color w:val="000000"/>
                <w:spacing w:val="0"/>
                <w:sz w:val="21"/>
                <w:szCs w:val="21"/>
                <w:u w:val="none"/>
              </w:rPr>
              <w:t>管理后台</w:t>
            </w: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6B2458C0">
            <w:pPr>
              <w:snapToGrid/>
              <w:spacing w:before="0" w:after="0" w:line="240" w:lineRule="auto"/>
              <w:rPr>
                <w:sz w:val="21"/>
                <w:szCs w:val="21"/>
              </w:rPr>
            </w:pPr>
            <w:r>
              <w:rPr>
                <w:rFonts w:ascii="宋体" w:hAnsi="宋体" w:eastAsia="宋体" w:cs="宋体"/>
                <w:i w:val="0"/>
                <w:strike w:val="0"/>
                <w:color w:val="000000"/>
                <w:spacing w:val="0"/>
                <w:sz w:val="21"/>
                <w:szCs w:val="21"/>
                <w:u w:val="none"/>
              </w:rPr>
              <w:t>文旅客情数据可视化展示迭代</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3312734C">
            <w:pPr>
              <w:snapToGrid/>
              <w:spacing w:before="0" w:after="0" w:line="240" w:lineRule="auto"/>
              <w:rPr>
                <w:sz w:val="21"/>
                <w:szCs w:val="21"/>
              </w:rPr>
            </w:pPr>
            <w:r>
              <w:rPr>
                <w:rFonts w:hint="eastAsia" w:ascii="宋体" w:hAnsi="宋体" w:eastAsia="宋体" w:cs="宋体"/>
                <w:i w:val="0"/>
                <w:strike w:val="0"/>
                <w:color w:val="000000"/>
                <w:spacing w:val="0"/>
                <w:sz w:val="21"/>
                <w:szCs w:val="21"/>
                <w:u w:val="none"/>
              </w:rPr>
              <w:t>基于新接入数据，新增基础画像、消费画像、偏好画像分析模块，提供多维度、可交互的可视化界面，以支持精细化运营分析。</w:t>
            </w:r>
          </w:p>
        </w:tc>
      </w:tr>
      <w:tr w14:paraId="391327F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646E7A22">
            <w:pPr>
              <w:snapToGrid/>
              <w:spacing w:before="0" w:after="0" w:line="240" w:lineRule="auto"/>
              <w:jc w:val="center"/>
              <w:rPr>
                <w:rFonts w:hint="eastAsia" w:eastAsia="minorEastAsia"/>
                <w:sz w:val="21"/>
                <w:szCs w:val="21"/>
                <w:lang w:eastAsia="zh-CN"/>
              </w:rPr>
            </w:pPr>
            <w:r>
              <w:rPr>
                <w:rFonts w:hint="eastAsia" w:ascii="宋体" w:hAnsi="宋体" w:eastAsia="宋体" w:cs="宋体"/>
                <w:i w:val="0"/>
                <w:strike w:val="0"/>
                <w:color w:val="000000"/>
                <w:spacing w:val="0"/>
                <w:sz w:val="21"/>
                <w:szCs w:val="21"/>
                <w:u w:val="none"/>
                <w:lang w:val="en-US" w:eastAsia="zh-CN"/>
              </w:rPr>
              <w:t>5</w:t>
            </w:r>
          </w:p>
        </w:tc>
        <w:tc>
          <w:tcPr>
            <w:tcW w:w="686" w:type="pct"/>
            <w:vMerge w:val="restart"/>
            <w:tcBorders>
              <w:top w:val="single" w:color="000000" w:sz="4" w:space="0"/>
              <w:left w:val="single" w:color="000000" w:sz="4" w:space="0"/>
              <w:bottom w:val="single" w:color="000000" w:sz="4" w:space="0"/>
              <w:right w:val="single" w:color="000000" w:sz="4" w:space="0"/>
            </w:tcBorders>
            <w:tcMar>
              <w:bottom w:w="0" w:type="dxa"/>
            </w:tcMar>
            <w:vAlign w:val="center"/>
          </w:tcPr>
          <w:p w14:paraId="4D80817C">
            <w:pPr>
              <w:snapToGrid/>
              <w:spacing w:before="0" w:after="0" w:line="240" w:lineRule="auto"/>
              <w:rPr>
                <w:sz w:val="21"/>
                <w:szCs w:val="21"/>
              </w:rPr>
            </w:pPr>
            <w:r>
              <w:rPr>
                <w:rFonts w:ascii="宋体" w:hAnsi="宋体" w:eastAsia="宋体" w:cs="宋体"/>
                <w:i w:val="0"/>
                <w:strike w:val="0"/>
                <w:color w:val="000000"/>
                <w:spacing w:val="0"/>
                <w:sz w:val="21"/>
                <w:szCs w:val="21"/>
                <w:u w:val="none"/>
              </w:rPr>
              <w:t>AI 问数</w:t>
            </w: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2DDC18BF">
            <w:pPr>
              <w:snapToGrid/>
              <w:spacing w:before="0" w:after="0" w:line="240" w:lineRule="auto"/>
              <w:rPr>
                <w:sz w:val="21"/>
                <w:szCs w:val="21"/>
              </w:rPr>
            </w:pPr>
            <w:r>
              <w:rPr>
                <w:rFonts w:ascii="宋体" w:hAnsi="宋体" w:eastAsia="宋体" w:cs="宋体"/>
                <w:i w:val="0"/>
                <w:strike w:val="0"/>
                <w:color w:val="000000"/>
                <w:spacing w:val="0"/>
                <w:sz w:val="21"/>
                <w:szCs w:val="21"/>
                <w:u w:val="none"/>
              </w:rPr>
              <w:t>自然语言理解与意图识别</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21D2781E">
            <w:pPr>
              <w:snapToGrid/>
              <w:spacing w:before="0" w:after="0" w:line="240" w:lineRule="auto"/>
              <w:rPr>
                <w:sz w:val="21"/>
                <w:szCs w:val="21"/>
              </w:rPr>
            </w:pPr>
            <w:r>
              <w:rPr>
                <w:rFonts w:ascii="宋体" w:hAnsi="宋体" w:eastAsia="宋体" w:cs="宋体"/>
                <w:i w:val="0"/>
                <w:strike w:val="0"/>
                <w:color w:val="000000"/>
                <w:spacing w:val="0"/>
                <w:sz w:val="21"/>
                <w:szCs w:val="21"/>
                <w:u w:val="none"/>
              </w:rPr>
              <w:t>负责从用户输入的自然语言中识别出问题的意图及相关的实体信息。它将用户的查询转化为系统可以处理的结构化信息。</w:t>
            </w:r>
          </w:p>
        </w:tc>
      </w:tr>
      <w:tr w14:paraId="118742F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03FE2C1D">
            <w:pPr>
              <w:snapToGrid/>
              <w:spacing w:before="0" w:after="0" w:line="240" w:lineRule="auto"/>
              <w:jc w:val="center"/>
              <w:rPr>
                <w:rFonts w:hint="eastAsia" w:eastAsia="minorEastAsia"/>
                <w:sz w:val="21"/>
                <w:szCs w:val="21"/>
                <w:lang w:eastAsia="zh-CN"/>
              </w:rPr>
            </w:pPr>
            <w:r>
              <w:rPr>
                <w:rFonts w:hint="eastAsia" w:ascii="宋体" w:hAnsi="宋体" w:eastAsia="宋体" w:cs="宋体"/>
                <w:i w:val="0"/>
                <w:strike w:val="0"/>
                <w:color w:val="000000"/>
                <w:spacing w:val="0"/>
                <w:sz w:val="21"/>
                <w:szCs w:val="21"/>
                <w:u w:val="none"/>
                <w:lang w:val="en-US" w:eastAsia="zh-CN"/>
              </w:rPr>
              <w:t>6</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53BE497A">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0D1E5750">
            <w:pPr>
              <w:snapToGrid/>
              <w:spacing w:before="0" w:after="0" w:line="240" w:lineRule="auto"/>
              <w:rPr>
                <w:sz w:val="21"/>
                <w:szCs w:val="21"/>
              </w:rPr>
            </w:pPr>
            <w:r>
              <w:rPr>
                <w:rFonts w:ascii="宋体" w:hAnsi="宋体" w:eastAsia="宋体" w:cs="宋体"/>
                <w:i w:val="0"/>
                <w:strike w:val="0"/>
                <w:color w:val="000000"/>
                <w:spacing w:val="0"/>
                <w:sz w:val="21"/>
                <w:szCs w:val="21"/>
                <w:u w:val="none"/>
              </w:rPr>
              <w:t>思考过程展示</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1B75BB52">
            <w:pPr>
              <w:snapToGrid/>
              <w:spacing w:before="0" w:after="0" w:line="240" w:lineRule="auto"/>
              <w:rPr>
                <w:sz w:val="21"/>
                <w:szCs w:val="21"/>
              </w:rPr>
            </w:pPr>
            <w:r>
              <w:rPr>
                <w:rFonts w:ascii="宋体" w:hAnsi="宋体" w:eastAsia="宋体" w:cs="宋体"/>
                <w:i w:val="0"/>
                <w:strike w:val="0"/>
                <w:color w:val="000000"/>
                <w:spacing w:val="0"/>
                <w:sz w:val="21"/>
                <w:szCs w:val="21"/>
                <w:u w:val="none"/>
              </w:rPr>
              <w:t>向用户展示AI在生成答案时的分析过程，以提升用户的信任感。思考过程帮助用户理解AI如何从问题到答案的每个步骤。</w:t>
            </w:r>
          </w:p>
        </w:tc>
      </w:tr>
      <w:tr w14:paraId="1B422FB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3BAF8A40">
            <w:pPr>
              <w:snapToGrid/>
              <w:spacing w:before="0" w:after="0" w:line="240" w:lineRule="auto"/>
              <w:jc w:val="center"/>
              <w:rPr>
                <w:rFonts w:hint="eastAsia" w:eastAsia="minorEastAsia"/>
                <w:sz w:val="21"/>
                <w:szCs w:val="21"/>
                <w:lang w:eastAsia="zh-CN"/>
              </w:rPr>
            </w:pPr>
            <w:r>
              <w:rPr>
                <w:rFonts w:hint="eastAsia" w:ascii="宋体" w:hAnsi="宋体" w:eastAsia="宋体" w:cs="宋体"/>
                <w:i w:val="0"/>
                <w:strike w:val="0"/>
                <w:color w:val="000000"/>
                <w:spacing w:val="0"/>
                <w:sz w:val="21"/>
                <w:szCs w:val="21"/>
                <w:u w:val="none"/>
                <w:lang w:val="en-US" w:eastAsia="zh-CN"/>
              </w:rPr>
              <w:t>7</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4FA472D6">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49845A42">
            <w:pPr>
              <w:snapToGrid/>
              <w:spacing w:before="0" w:after="0" w:line="240" w:lineRule="auto"/>
              <w:rPr>
                <w:sz w:val="21"/>
                <w:szCs w:val="21"/>
              </w:rPr>
            </w:pPr>
            <w:r>
              <w:rPr>
                <w:rFonts w:ascii="宋体" w:hAnsi="宋体" w:eastAsia="宋体" w:cs="宋体"/>
                <w:i w:val="0"/>
                <w:strike w:val="0"/>
                <w:color w:val="000000"/>
                <w:spacing w:val="0"/>
                <w:sz w:val="21"/>
                <w:szCs w:val="21"/>
                <w:u w:val="none"/>
              </w:rPr>
              <w:t>SQL生成与透明化</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2D633738">
            <w:pPr>
              <w:snapToGrid/>
              <w:spacing w:before="0" w:after="0" w:line="240" w:lineRule="auto"/>
              <w:rPr>
                <w:sz w:val="21"/>
                <w:szCs w:val="21"/>
              </w:rPr>
            </w:pPr>
            <w:r>
              <w:rPr>
                <w:rFonts w:ascii="宋体" w:hAnsi="宋体" w:eastAsia="宋体" w:cs="宋体"/>
                <w:i w:val="0"/>
                <w:strike w:val="0"/>
                <w:color w:val="000000"/>
                <w:spacing w:val="0"/>
                <w:sz w:val="21"/>
                <w:szCs w:val="21"/>
                <w:u w:val="none"/>
              </w:rPr>
              <w:t>自动生成与用户提问相关的SQL查询语句，并提供透明化的展示，允许用户查看和修改SQL语句。</w:t>
            </w:r>
          </w:p>
        </w:tc>
      </w:tr>
      <w:tr w14:paraId="26BDA0B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2E0AA71C">
            <w:pPr>
              <w:snapToGrid/>
              <w:spacing w:before="0" w:after="0" w:line="240" w:lineRule="auto"/>
              <w:jc w:val="center"/>
              <w:rPr>
                <w:rFonts w:hint="eastAsia" w:eastAsia="minorEastAsia"/>
                <w:sz w:val="21"/>
                <w:szCs w:val="21"/>
                <w:lang w:eastAsia="zh-CN"/>
              </w:rPr>
            </w:pPr>
            <w:r>
              <w:rPr>
                <w:rFonts w:hint="eastAsia" w:ascii="宋体" w:hAnsi="宋体" w:eastAsia="宋体" w:cs="宋体"/>
                <w:i w:val="0"/>
                <w:strike w:val="0"/>
                <w:color w:val="000000"/>
                <w:spacing w:val="0"/>
                <w:sz w:val="21"/>
                <w:szCs w:val="21"/>
                <w:u w:val="none"/>
                <w:lang w:val="en-US" w:eastAsia="zh-CN"/>
              </w:rPr>
              <w:t>8</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106AD73B">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07592475">
            <w:pPr>
              <w:snapToGrid/>
              <w:spacing w:before="0" w:after="0" w:line="240" w:lineRule="auto"/>
              <w:rPr>
                <w:sz w:val="21"/>
                <w:szCs w:val="21"/>
              </w:rPr>
            </w:pPr>
            <w:r>
              <w:rPr>
                <w:rFonts w:ascii="宋体" w:hAnsi="宋体" w:eastAsia="宋体" w:cs="宋体"/>
                <w:i w:val="0"/>
                <w:strike w:val="0"/>
                <w:color w:val="000000"/>
                <w:spacing w:val="0"/>
                <w:sz w:val="21"/>
                <w:szCs w:val="21"/>
                <w:u w:val="none"/>
              </w:rPr>
              <w:t>数据结果呈现</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610286F4">
            <w:pPr>
              <w:snapToGrid/>
              <w:spacing w:before="0" w:after="0" w:line="240" w:lineRule="auto"/>
              <w:rPr>
                <w:sz w:val="21"/>
                <w:szCs w:val="21"/>
              </w:rPr>
            </w:pPr>
            <w:r>
              <w:rPr>
                <w:rFonts w:ascii="宋体" w:hAnsi="宋体" w:eastAsia="宋体" w:cs="宋体"/>
                <w:i w:val="0"/>
                <w:strike w:val="0"/>
                <w:color w:val="000000"/>
                <w:spacing w:val="0"/>
                <w:sz w:val="21"/>
                <w:szCs w:val="21"/>
                <w:u w:val="none"/>
              </w:rPr>
              <w:t>展示从数据库查询出的数据结果，以便用户可以清晰地理解结果并进行进一步操作。</w:t>
            </w:r>
          </w:p>
        </w:tc>
      </w:tr>
      <w:tr w14:paraId="21A1FAF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5D65ABB9">
            <w:pPr>
              <w:snapToGrid/>
              <w:spacing w:before="0" w:after="0" w:line="240" w:lineRule="auto"/>
              <w:jc w:val="center"/>
              <w:rPr>
                <w:rFonts w:hint="eastAsia" w:eastAsia="minorEastAsia"/>
                <w:sz w:val="21"/>
                <w:szCs w:val="21"/>
                <w:lang w:eastAsia="zh-CN"/>
              </w:rPr>
            </w:pPr>
            <w:r>
              <w:rPr>
                <w:rFonts w:hint="eastAsia" w:ascii="宋体" w:hAnsi="宋体" w:eastAsia="宋体" w:cs="宋体"/>
                <w:i w:val="0"/>
                <w:strike w:val="0"/>
                <w:color w:val="000000"/>
                <w:spacing w:val="0"/>
                <w:sz w:val="21"/>
                <w:szCs w:val="21"/>
                <w:u w:val="none"/>
                <w:lang w:val="en-US" w:eastAsia="zh-CN"/>
              </w:rPr>
              <w:t>9</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50F7BD1B">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15252C2C">
            <w:pPr>
              <w:snapToGrid/>
              <w:spacing w:before="0" w:after="0" w:line="240" w:lineRule="auto"/>
              <w:rPr>
                <w:sz w:val="21"/>
                <w:szCs w:val="21"/>
              </w:rPr>
            </w:pPr>
            <w:r>
              <w:rPr>
                <w:rFonts w:ascii="宋体" w:hAnsi="宋体" w:eastAsia="宋体" w:cs="宋体"/>
                <w:i w:val="0"/>
                <w:strike w:val="0"/>
                <w:color w:val="000000"/>
                <w:spacing w:val="0"/>
                <w:sz w:val="21"/>
                <w:szCs w:val="21"/>
                <w:u w:val="none"/>
              </w:rPr>
              <w:t>智能可视化推荐与生成</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365147AF">
            <w:pPr>
              <w:snapToGrid/>
              <w:spacing w:before="0" w:after="0" w:line="240" w:lineRule="auto"/>
              <w:rPr>
                <w:sz w:val="21"/>
                <w:szCs w:val="21"/>
              </w:rPr>
            </w:pPr>
            <w:r>
              <w:rPr>
                <w:rFonts w:ascii="宋体" w:hAnsi="宋体" w:eastAsia="宋体" w:cs="宋体"/>
                <w:i w:val="0"/>
                <w:strike w:val="0"/>
                <w:color w:val="000000"/>
                <w:spacing w:val="0"/>
                <w:sz w:val="21"/>
                <w:szCs w:val="21"/>
                <w:u w:val="none"/>
              </w:rPr>
              <w:t>根据查询结果的数据类型，自动推荐并生成最适合的图表或可视化效果。用户也可指定用哪种可视化图表展示结果。</w:t>
            </w:r>
          </w:p>
        </w:tc>
      </w:tr>
      <w:tr w14:paraId="4755644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42AFCCAD">
            <w:pPr>
              <w:snapToGrid/>
              <w:spacing w:before="0" w:after="0" w:line="240" w:lineRule="auto"/>
              <w:jc w:val="center"/>
              <w:rPr>
                <w:rFonts w:hint="default" w:eastAsia="minorEastAsia"/>
                <w:sz w:val="21"/>
                <w:szCs w:val="21"/>
                <w:lang w:val="en-US" w:eastAsia="zh-CN"/>
              </w:rPr>
            </w:pPr>
            <w:r>
              <w:rPr>
                <w:rFonts w:hint="eastAsia" w:ascii="宋体" w:hAnsi="宋体" w:eastAsia="宋体" w:cs="宋体"/>
                <w:i w:val="0"/>
                <w:strike w:val="0"/>
                <w:color w:val="000000"/>
                <w:spacing w:val="0"/>
                <w:sz w:val="21"/>
                <w:szCs w:val="21"/>
                <w:u w:val="none"/>
                <w:lang w:val="en-US" w:eastAsia="zh-CN"/>
              </w:rPr>
              <w:t>10</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5F7E9BEE">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26C48D89">
            <w:pPr>
              <w:snapToGrid/>
              <w:spacing w:before="0" w:after="0" w:line="240" w:lineRule="auto"/>
              <w:rPr>
                <w:sz w:val="21"/>
                <w:szCs w:val="21"/>
              </w:rPr>
            </w:pPr>
            <w:r>
              <w:rPr>
                <w:rFonts w:ascii="宋体" w:hAnsi="宋体" w:eastAsia="宋体" w:cs="宋体"/>
                <w:i w:val="0"/>
                <w:strike w:val="0"/>
                <w:color w:val="000000"/>
                <w:spacing w:val="0"/>
                <w:sz w:val="21"/>
                <w:szCs w:val="21"/>
                <w:u w:val="none"/>
              </w:rPr>
              <w:t>多轮对话与上下文记忆</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4FFD917F">
            <w:pPr>
              <w:snapToGrid/>
              <w:spacing w:before="0" w:after="0" w:line="240" w:lineRule="auto"/>
              <w:rPr>
                <w:sz w:val="21"/>
                <w:szCs w:val="21"/>
              </w:rPr>
            </w:pPr>
            <w:r>
              <w:rPr>
                <w:rFonts w:ascii="宋体" w:hAnsi="宋体" w:eastAsia="宋体" w:cs="宋体"/>
                <w:i w:val="0"/>
                <w:strike w:val="0"/>
                <w:color w:val="000000"/>
                <w:spacing w:val="0"/>
                <w:sz w:val="21"/>
                <w:szCs w:val="21"/>
                <w:u w:val="none"/>
              </w:rPr>
              <w:t>支持用户的多轮对话，能够记住用户的查询上下文，进行更深层次的交互。</w:t>
            </w:r>
          </w:p>
        </w:tc>
      </w:tr>
      <w:tr w14:paraId="19830F9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146294CF">
            <w:pPr>
              <w:snapToGrid/>
              <w:spacing w:before="0" w:after="0" w:line="240" w:lineRule="auto"/>
              <w:jc w:val="center"/>
              <w:rPr>
                <w:rFonts w:hint="eastAsia" w:eastAsia="宋体"/>
                <w:sz w:val="21"/>
                <w:szCs w:val="21"/>
                <w:lang w:eastAsia="zh-CN"/>
              </w:rPr>
            </w:pPr>
            <w:r>
              <w:rPr>
                <w:rFonts w:ascii="宋体" w:hAnsi="宋体" w:eastAsia="宋体" w:cs="宋体"/>
                <w:i w:val="0"/>
                <w:strike w:val="0"/>
                <w:color w:val="000000"/>
                <w:spacing w:val="0"/>
                <w:sz w:val="21"/>
                <w:szCs w:val="21"/>
                <w:u w:val="none"/>
              </w:rPr>
              <w:t>1</w:t>
            </w:r>
            <w:r>
              <w:rPr>
                <w:rFonts w:hint="eastAsia" w:ascii="宋体" w:hAnsi="宋体" w:eastAsia="宋体" w:cs="宋体"/>
                <w:i w:val="0"/>
                <w:strike w:val="0"/>
                <w:color w:val="000000"/>
                <w:spacing w:val="0"/>
                <w:sz w:val="21"/>
                <w:szCs w:val="21"/>
                <w:u w:val="none"/>
                <w:lang w:val="en-US" w:eastAsia="zh-CN"/>
              </w:rPr>
              <w:t>1</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43B399EC">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2A62EA47">
            <w:pPr>
              <w:snapToGrid/>
              <w:spacing w:before="0" w:after="0" w:line="240" w:lineRule="auto"/>
              <w:rPr>
                <w:sz w:val="21"/>
                <w:szCs w:val="21"/>
              </w:rPr>
            </w:pPr>
            <w:r>
              <w:rPr>
                <w:rFonts w:ascii="宋体" w:hAnsi="宋体" w:eastAsia="宋体" w:cs="宋体"/>
                <w:i w:val="0"/>
                <w:strike w:val="0"/>
                <w:color w:val="000000"/>
                <w:spacing w:val="0"/>
                <w:sz w:val="21"/>
                <w:szCs w:val="21"/>
                <w:u w:val="none"/>
              </w:rPr>
              <w:t>用户反馈与学习闭环</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119D895E">
            <w:pPr>
              <w:snapToGrid/>
              <w:spacing w:before="0" w:after="0" w:line="240" w:lineRule="auto"/>
              <w:rPr>
                <w:sz w:val="21"/>
                <w:szCs w:val="21"/>
              </w:rPr>
            </w:pPr>
            <w:r>
              <w:rPr>
                <w:rFonts w:ascii="宋体" w:hAnsi="宋体" w:eastAsia="宋体" w:cs="宋体"/>
                <w:i w:val="0"/>
                <w:strike w:val="0"/>
                <w:color w:val="000000"/>
                <w:spacing w:val="0"/>
                <w:sz w:val="21"/>
                <w:szCs w:val="21"/>
                <w:u w:val="none"/>
              </w:rPr>
              <w:t>通过用户的反馈，不断优化AI的表现，形成持续改进的闭环。</w:t>
            </w:r>
          </w:p>
        </w:tc>
      </w:tr>
      <w:tr w14:paraId="038E051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26523A96">
            <w:pPr>
              <w:snapToGrid/>
              <w:spacing w:before="0" w:after="0" w:line="240" w:lineRule="auto"/>
              <w:jc w:val="center"/>
              <w:rPr>
                <w:rFonts w:hint="eastAsia" w:eastAsia="宋体"/>
                <w:sz w:val="21"/>
                <w:szCs w:val="21"/>
                <w:lang w:eastAsia="zh-CN"/>
              </w:rPr>
            </w:pPr>
            <w:r>
              <w:rPr>
                <w:rFonts w:ascii="宋体" w:hAnsi="宋体" w:eastAsia="宋体" w:cs="宋体"/>
                <w:i w:val="0"/>
                <w:strike w:val="0"/>
                <w:color w:val="000000"/>
                <w:spacing w:val="0"/>
                <w:sz w:val="21"/>
                <w:szCs w:val="21"/>
                <w:u w:val="none"/>
              </w:rPr>
              <w:t>1</w:t>
            </w:r>
            <w:r>
              <w:rPr>
                <w:rFonts w:hint="eastAsia" w:ascii="宋体" w:hAnsi="宋体" w:eastAsia="宋体" w:cs="宋体"/>
                <w:i w:val="0"/>
                <w:strike w:val="0"/>
                <w:color w:val="000000"/>
                <w:spacing w:val="0"/>
                <w:sz w:val="21"/>
                <w:szCs w:val="21"/>
                <w:u w:val="none"/>
                <w:lang w:val="en-US" w:eastAsia="zh-CN"/>
              </w:rPr>
              <w:t>2</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1311BBB0">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0B5A5CDE">
            <w:pPr>
              <w:snapToGrid/>
              <w:spacing w:before="0" w:after="0" w:line="240" w:lineRule="auto"/>
              <w:rPr>
                <w:sz w:val="21"/>
                <w:szCs w:val="21"/>
              </w:rPr>
            </w:pPr>
            <w:r>
              <w:rPr>
                <w:rFonts w:ascii="宋体" w:hAnsi="宋体" w:eastAsia="宋体" w:cs="宋体"/>
                <w:i w:val="0"/>
                <w:strike w:val="0"/>
                <w:color w:val="000000"/>
                <w:spacing w:val="0"/>
                <w:sz w:val="21"/>
                <w:szCs w:val="21"/>
                <w:u w:val="none"/>
              </w:rPr>
              <w:t>生成自定义报表数据集SQL</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05B5BF09">
            <w:pPr>
              <w:snapToGrid/>
              <w:spacing w:before="0" w:after="0" w:line="240" w:lineRule="auto"/>
              <w:rPr>
                <w:sz w:val="21"/>
                <w:szCs w:val="21"/>
              </w:rPr>
            </w:pPr>
            <w:r>
              <w:rPr>
                <w:rFonts w:ascii="宋体" w:hAnsi="宋体" w:eastAsia="宋体" w:cs="宋体"/>
                <w:i w:val="0"/>
                <w:strike w:val="0"/>
                <w:color w:val="000000"/>
                <w:spacing w:val="0"/>
                <w:sz w:val="21"/>
                <w:szCs w:val="21"/>
                <w:u w:val="none"/>
              </w:rPr>
              <w:t>根据自然语言生成自定义报表数据集的SQL语句，这一过程还能极大提升问答系统的智能化水平和回答的准确性。</w:t>
            </w:r>
          </w:p>
        </w:tc>
      </w:tr>
      <w:tr w14:paraId="1A6B43E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37B74F33">
            <w:pPr>
              <w:snapToGrid/>
              <w:spacing w:before="0" w:after="0" w:line="240" w:lineRule="auto"/>
              <w:jc w:val="center"/>
              <w:rPr>
                <w:rFonts w:hint="eastAsia" w:eastAsia="宋体"/>
                <w:sz w:val="21"/>
                <w:szCs w:val="21"/>
                <w:lang w:eastAsia="zh-CN"/>
              </w:rPr>
            </w:pPr>
            <w:r>
              <w:rPr>
                <w:rFonts w:ascii="宋体" w:hAnsi="宋体" w:eastAsia="宋体" w:cs="宋体"/>
                <w:i w:val="0"/>
                <w:strike w:val="0"/>
                <w:color w:val="000000"/>
                <w:spacing w:val="0"/>
                <w:sz w:val="21"/>
                <w:szCs w:val="21"/>
                <w:u w:val="none"/>
              </w:rPr>
              <w:t>1</w:t>
            </w:r>
            <w:r>
              <w:rPr>
                <w:rFonts w:hint="eastAsia" w:ascii="宋体" w:hAnsi="宋体" w:eastAsia="宋体" w:cs="宋体"/>
                <w:i w:val="0"/>
                <w:strike w:val="0"/>
                <w:color w:val="000000"/>
                <w:spacing w:val="0"/>
                <w:sz w:val="21"/>
                <w:szCs w:val="21"/>
                <w:u w:val="none"/>
                <w:lang w:val="en-US" w:eastAsia="zh-CN"/>
              </w:rPr>
              <w:t>3</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42342070">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00C8207F">
            <w:pPr>
              <w:snapToGrid/>
              <w:spacing w:before="0" w:after="0" w:line="240" w:lineRule="auto"/>
              <w:rPr>
                <w:sz w:val="21"/>
                <w:szCs w:val="21"/>
              </w:rPr>
            </w:pPr>
            <w:r>
              <w:rPr>
                <w:rFonts w:ascii="宋体" w:hAnsi="宋体" w:eastAsia="宋体" w:cs="宋体"/>
                <w:i w:val="0"/>
                <w:strike w:val="0"/>
                <w:color w:val="000000"/>
                <w:spacing w:val="0"/>
                <w:sz w:val="21"/>
                <w:szCs w:val="21"/>
                <w:u w:val="none"/>
              </w:rPr>
              <w:t>自动生成数据分析报告</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4A8EEB51">
            <w:pPr>
              <w:snapToGrid/>
              <w:spacing w:before="0" w:after="0" w:line="240" w:lineRule="auto"/>
              <w:rPr>
                <w:sz w:val="21"/>
                <w:szCs w:val="21"/>
              </w:rPr>
            </w:pPr>
            <w:r>
              <w:rPr>
                <w:rFonts w:ascii="宋体" w:hAnsi="宋体" w:eastAsia="宋体" w:cs="宋体"/>
                <w:i w:val="0"/>
                <w:strike w:val="0"/>
                <w:color w:val="000000"/>
                <w:spacing w:val="0"/>
                <w:sz w:val="21"/>
                <w:szCs w:val="21"/>
                <w:u w:val="none"/>
              </w:rPr>
              <w:t>根据数据分析模版自动填充分析数据，并且生成pdf格式的报告，模板数量最多为 2 个。</w:t>
            </w:r>
          </w:p>
        </w:tc>
      </w:tr>
      <w:tr w14:paraId="73A6A24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9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4FEEE5E7">
            <w:pPr>
              <w:snapToGrid/>
              <w:spacing w:before="0" w:after="0" w:line="240" w:lineRule="auto"/>
              <w:jc w:val="center"/>
              <w:rPr>
                <w:rFonts w:hint="eastAsia" w:eastAsia="宋体"/>
                <w:sz w:val="21"/>
                <w:szCs w:val="21"/>
                <w:lang w:eastAsia="zh-CN"/>
              </w:rPr>
            </w:pPr>
            <w:r>
              <w:rPr>
                <w:rFonts w:ascii="宋体" w:hAnsi="宋体" w:eastAsia="宋体" w:cs="宋体"/>
                <w:i w:val="0"/>
                <w:strike w:val="0"/>
                <w:color w:val="000000"/>
                <w:spacing w:val="0"/>
                <w:sz w:val="21"/>
                <w:szCs w:val="21"/>
                <w:u w:val="none"/>
              </w:rPr>
              <w:t>1</w:t>
            </w:r>
            <w:r>
              <w:rPr>
                <w:rFonts w:hint="eastAsia" w:ascii="宋体" w:hAnsi="宋体" w:eastAsia="宋体" w:cs="宋体"/>
                <w:i w:val="0"/>
                <w:strike w:val="0"/>
                <w:color w:val="000000"/>
                <w:spacing w:val="0"/>
                <w:sz w:val="21"/>
                <w:szCs w:val="21"/>
                <w:u w:val="none"/>
                <w:lang w:val="en-US" w:eastAsia="zh-CN"/>
              </w:rPr>
              <w:t>4</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22AD67C8">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755B69BD">
            <w:pPr>
              <w:snapToGrid/>
              <w:spacing w:before="0" w:after="0" w:line="240" w:lineRule="auto"/>
              <w:rPr>
                <w:sz w:val="21"/>
                <w:szCs w:val="21"/>
              </w:rPr>
            </w:pPr>
            <w:r>
              <w:rPr>
                <w:rFonts w:ascii="宋体" w:hAnsi="宋体" w:eastAsia="宋体" w:cs="宋体"/>
                <w:i w:val="0"/>
                <w:strike w:val="0"/>
                <w:color w:val="000000"/>
                <w:spacing w:val="0"/>
                <w:sz w:val="21"/>
                <w:szCs w:val="21"/>
                <w:u w:val="none"/>
              </w:rPr>
              <w:t>配置问数大模型</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2B32795B">
            <w:pPr>
              <w:snapToGrid/>
              <w:spacing w:before="0" w:after="0" w:line="240" w:lineRule="auto"/>
              <w:rPr>
                <w:sz w:val="21"/>
                <w:szCs w:val="21"/>
              </w:rPr>
            </w:pPr>
            <w:r>
              <w:rPr>
                <w:rFonts w:ascii="宋体" w:hAnsi="宋体" w:eastAsia="宋体" w:cs="宋体"/>
                <w:i w:val="0"/>
                <w:strike w:val="0"/>
                <w:color w:val="000000"/>
                <w:spacing w:val="0"/>
                <w:sz w:val="21"/>
                <w:szCs w:val="21"/>
                <w:u w:val="none"/>
              </w:rPr>
              <w:t>支持配置云端大模型或私有化部署的模型。</w:t>
            </w:r>
          </w:p>
        </w:tc>
      </w:tr>
      <w:tr w14:paraId="1391CF7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7"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79A6A18A">
            <w:pPr>
              <w:snapToGrid/>
              <w:spacing w:before="0" w:after="0" w:line="240" w:lineRule="auto"/>
              <w:jc w:val="center"/>
              <w:rPr>
                <w:rFonts w:hint="eastAsia" w:eastAsia="宋体"/>
                <w:sz w:val="21"/>
                <w:szCs w:val="21"/>
                <w:lang w:eastAsia="zh-CN"/>
              </w:rPr>
            </w:pPr>
            <w:r>
              <w:rPr>
                <w:rFonts w:ascii="宋体" w:hAnsi="宋体" w:eastAsia="宋体" w:cs="宋体"/>
                <w:i w:val="0"/>
                <w:strike w:val="0"/>
                <w:color w:val="000000"/>
                <w:spacing w:val="0"/>
                <w:sz w:val="21"/>
                <w:szCs w:val="21"/>
                <w:u w:val="none"/>
              </w:rPr>
              <w:t>1</w:t>
            </w:r>
            <w:r>
              <w:rPr>
                <w:rFonts w:hint="eastAsia" w:ascii="宋体" w:hAnsi="宋体" w:eastAsia="宋体" w:cs="宋体"/>
                <w:i w:val="0"/>
                <w:strike w:val="0"/>
                <w:color w:val="000000"/>
                <w:spacing w:val="0"/>
                <w:sz w:val="21"/>
                <w:szCs w:val="21"/>
                <w:u w:val="none"/>
                <w:lang w:val="en-US" w:eastAsia="zh-CN"/>
              </w:rPr>
              <w:t>5</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2D49A7B8">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33C17AA5">
            <w:pPr>
              <w:snapToGrid/>
              <w:spacing w:before="0" w:after="0" w:line="240" w:lineRule="auto"/>
              <w:rPr>
                <w:sz w:val="21"/>
                <w:szCs w:val="21"/>
              </w:rPr>
            </w:pPr>
            <w:r>
              <w:rPr>
                <w:rFonts w:ascii="宋体" w:hAnsi="宋体" w:eastAsia="宋体" w:cs="宋体"/>
                <w:i w:val="0"/>
                <w:strike w:val="0"/>
                <w:color w:val="000000"/>
                <w:spacing w:val="0"/>
                <w:sz w:val="21"/>
                <w:szCs w:val="21"/>
                <w:u w:val="none"/>
              </w:rPr>
              <w:t>配置提示词</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68F75904">
            <w:pPr>
              <w:snapToGrid/>
              <w:spacing w:before="0" w:after="0" w:line="240" w:lineRule="auto"/>
              <w:rPr>
                <w:sz w:val="21"/>
                <w:szCs w:val="21"/>
              </w:rPr>
            </w:pPr>
            <w:r>
              <w:rPr>
                <w:rFonts w:ascii="宋体" w:hAnsi="宋体" w:eastAsia="宋体" w:cs="宋体"/>
                <w:i w:val="0"/>
                <w:strike w:val="0"/>
                <w:color w:val="000000"/>
                <w:spacing w:val="0"/>
                <w:sz w:val="21"/>
                <w:szCs w:val="21"/>
                <w:u w:val="none"/>
              </w:rPr>
              <w:t>支持配置大模型提示词，提升问数系统的精准度。</w:t>
            </w:r>
          </w:p>
        </w:tc>
      </w:tr>
      <w:tr w14:paraId="6410DD0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7C236575">
            <w:pPr>
              <w:snapToGrid/>
              <w:spacing w:before="0" w:after="0" w:line="240" w:lineRule="auto"/>
              <w:jc w:val="center"/>
              <w:rPr>
                <w:rFonts w:hint="default" w:eastAsia="minorEastAsia"/>
                <w:sz w:val="21"/>
                <w:szCs w:val="21"/>
                <w:lang w:val="en-US" w:eastAsia="zh-CN"/>
              </w:rPr>
            </w:pPr>
            <w:r>
              <w:rPr>
                <w:rFonts w:hint="eastAsia" w:ascii="宋体" w:hAnsi="宋体" w:eastAsia="宋体" w:cs="宋体"/>
                <w:i w:val="0"/>
                <w:strike w:val="0"/>
                <w:color w:val="000000"/>
                <w:spacing w:val="0"/>
                <w:sz w:val="21"/>
                <w:szCs w:val="21"/>
                <w:u w:val="none"/>
                <w:lang w:val="en-US" w:eastAsia="zh-CN"/>
              </w:rPr>
              <w:t>16</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0F2F6D65">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66D9818A">
            <w:pPr>
              <w:snapToGrid/>
              <w:spacing w:before="0" w:after="0" w:line="240" w:lineRule="auto"/>
              <w:rPr>
                <w:sz w:val="21"/>
                <w:szCs w:val="21"/>
              </w:rPr>
            </w:pPr>
            <w:r>
              <w:rPr>
                <w:rFonts w:ascii="宋体" w:hAnsi="宋体" w:eastAsia="宋体" w:cs="宋体"/>
                <w:i w:val="0"/>
                <w:strike w:val="0"/>
                <w:color w:val="000000"/>
                <w:spacing w:val="0"/>
                <w:sz w:val="21"/>
                <w:szCs w:val="21"/>
                <w:u w:val="none"/>
              </w:rPr>
              <w:t>配置问数大模型训练集</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2F0A4F6C">
            <w:pPr>
              <w:snapToGrid/>
              <w:spacing w:before="0" w:after="0" w:line="240" w:lineRule="auto"/>
              <w:rPr>
                <w:sz w:val="21"/>
                <w:szCs w:val="21"/>
              </w:rPr>
            </w:pPr>
            <w:r>
              <w:rPr>
                <w:rFonts w:ascii="宋体" w:hAnsi="宋体" w:eastAsia="宋体" w:cs="宋体"/>
                <w:i w:val="0"/>
                <w:strike w:val="0"/>
                <w:color w:val="000000"/>
                <w:spacing w:val="0"/>
                <w:sz w:val="21"/>
                <w:szCs w:val="21"/>
                <w:u w:val="none"/>
              </w:rPr>
              <w:t>支持单个或批量上传训练集，及在线编辑训练集内容，提升问数系统的精准度。</w:t>
            </w:r>
          </w:p>
        </w:tc>
      </w:tr>
      <w:tr w14:paraId="138B068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434" w:type="pct"/>
            <w:tcBorders>
              <w:top w:val="single" w:color="000000" w:sz="4" w:space="0"/>
              <w:left w:val="single" w:color="000000" w:sz="4" w:space="0"/>
              <w:bottom w:val="single" w:color="000000" w:sz="4" w:space="0"/>
              <w:right w:val="single" w:color="000000" w:sz="4" w:space="0"/>
            </w:tcBorders>
            <w:tcMar>
              <w:bottom w:w="0" w:type="dxa"/>
            </w:tcMar>
            <w:vAlign w:val="center"/>
          </w:tcPr>
          <w:p w14:paraId="1DE10DAE">
            <w:pPr>
              <w:snapToGrid/>
              <w:spacing w:before="0" w:after="0" w:line="240" w:lineRule="auto"/>
              <w:jc w:val="center"/>
              <w:rPr>
                <w:rFonts w:hint="default" w:eastAsia="minorEastAsia"/>
                <w:sz w:val="21"/>
                <w:szCs w:val="21"/>
                <w:lang w:val="en-US" w:eastAsia="zh-CN"/>
              </w:rPr>
            </w:pPr>
            <w:r>
              <w:rPr>
                <w:rFonts w:hint="eastAsia" w:ascii="宋体" w:hAnsi="宋体" w:eastAsia="宋体" w:cs="宋体"/>
                <w:i w:val="0"/>
                <w:strike w:val="0"/>
                <w:color w:val="000000"/>
                <w:spacing w:val="0"/>
                <w:sz w:val="21"/>
                <w:szCs w:val="21"/>
                <w:u w:val="none"/>
                <w:lang w:val="en-US" w:eastAsia="zh-CN"/>
              </w:rPr>
              <w:t>17</w:t>
            </w:r>
          </w:p>
        </w:tc>
        <w:tc>
          <w:tcPr>
            <w:tcW w:w="686" w:type="pct"/>
            <w:vMerge w:val="continue"/>
            <w:tcBorders>
              <w:top w:val="single" w:color="000000" w:sz="4" w:space="0"/>
              <w:left w:val="single" w:color="000000" w:sz="4" w:space="0"/>
              <w:bottom w:val="single" w:color="000000" w:sz="4" w:space="0"/>
              <w:right w:val="single" w:color="000000" w:sz="4" w:space="0"/>
            </w:tcBorders>
            <w:tcMar>
              <w:bottom w:w="0" w:type="dxa"/>
            </w:tcMar>
            <w:vAlign w:val="center"/>
          </w:tcPr>
          <w:p w14:paraId="7694D3EB">
            <w:pPr>
              <w:snapToGrid/>
              <w:spacing w:line="240" w:lineRule="auto"/>
              <w:rPr>
                <w:sz w:val="21"/>
                <w:szCs w:val="21"/>
              </w:rPr>
            </w:pPr>
          </w:p>
        </w:tc>
        <w:tc>
          <w:tcPr>
            <w:tcW w:w="1254" w:type="pct"/>
            <w:tcBorders>
              <w:top w:val="single" w:color="000000" w:sz="4" w:space="0"/>
              <w:left w:val="single" w:color="000000" w:sz="4" w:space="0"/>
              <w:bottom w:val="single" w:color="000000" w:sz="4" w:space="0"/>
              <w:right w:val="single" w:color="000000" w:sz="4" w:space="0"/>
            </w:tcBorders>
            <w:tcMar>
              <w:bottom w:w="0" w:type="dxa"/>
            </w:tcMar>
            <w:vAlign w:val="center"/>
          </w:tcPr>
          <w:p w14:paraId="02A4A4C6">
            <w:pPr>
              <w:snapToGrid/>
              <w:spacing w:before="0" w:after="0" w:line="240" w:lineRule="auto"/>
              <w:rPr>
                <w:sz w:val="21"/>
                <w:szCs w:val="21"/>
              </w:rPr>
            </w:pPr>
            <w:r>
              <w:rPr>
                <w:rFonts w:ascii="宋体" w:hAnsi="宋体" w:eastAsia="宋体" w:cs="宋体"/>
                <w:i w:val="0"/>
                <w:strike w:val="0"/>
                <w:color w:val="000000"/>
                <w:spacing w:val="0"/>
                <w:sz w:val="21"/>
                <w:szCs w:val="21"/>
                <w:u w:val="none"/>
              </w:rPr>
              <w:t>配置多种问数数据源</w:t>
            </w:r>
          </w:p>
        </w:tc>
        <w:tc>
          <w:tcPr>
            <w:tcW w:w="2623" w:type="pct"/>
            <w:tcBorders>
              <w:top w:val="single" w:color="000000" w:sz="4" w:space="0"/>
              <w:left w:val="single" w:color="000000" w:sz="4" w:space="0"/>
              <w:bottom w:val="single" w:color="000000" w:sz="4" w:space="0"/>
              <w:right w:val="single" w:color="000000" w:sz="4" w:space="0"/>
            </w:tcBorders>
            <w:tcMar>
              <w:bottom w:w="0" w:type="dxa"/>
            </w:tcMar>
            <w:vAlign w:val="center"/>
          </w:tcPr>
          <w:p w14:paraId="112A3829">
            <w:pPr>
              <w:snapToGrid/>
              <w:spacing w:before="0" w:after="0" w:line="240" w:lineRule="auto"/>
              <w:rPr>
                <w:sz w:val="21"/>
                <w:szCs w:val="21"/>
              </w:rPr>
            </w:pPr>
            <w:r>
              <w:rPr>
                <w:rFonts w:ascii="宋体" w:hAnsi="宋体" w:eastAsia="宋体" w:cs="宋体"/>
                <w:i w:val="0"/>
                <w:strike w:val="0"/>
                <w:color w:val="000000"/>
                <w:spacing w:val="0"/>
                <w:sz w:val="21"/>
                <w:szCs w:val="21"/>
                <w:u w:val="none"/>
              </w:rPr>
              <w:t>支持连接多种常见的数据源，包括MySQL、达梦数据库。</w:t>
            </w:r>
          </w:p>
        </w:tc>
      </w:tr>
    </w:tbl>
    <w:p w14:paraId="35763AC7">
      <w:pPr>
        <w:keepNext w:val="0"/>
        <w:keepLines w:val="0"/>
        <w:pageBreakBefore w:val="0"/>
        <w:widowControl w:val="0"/>
        <w:numPr>
          <w:ilvl w:val="0"/>
          <w:numId w:val="5"/>
        </w:numPr>
        <w:tabs>
          <w:tab w:val="left" w:pos="424"/>
        </w:tabs>
        <w:kinsoku/>
        <w:wordWrap/>
        <w:overflowPunct/>
        <w:topLinePunct w:val="0"/>
        <w:autoSpaceDE/>
        <w:autoSpaceDN/>
        <w:bidi w:val="0"/>
        <w:snapToGrid w:val="0"/>
        <w:spacing w:before="159" w:beforeLines="50" w:beforeAutospacing="0" w:line="360" w:lineRule="auto"/>
        <w:textAlignment w:val="auto"/>
        <w:rPr>
          <w:rFonts w:hint="eastAsia" w:ascii="宋体" w:hAnsi="宋体" w:cs="宋体"/>
          <w:b/>
          <w:color w:val="auto"/>
          <w:kern w:val="2"/>
          <w:sz w:val="21"/>
          <w:szCs w:val="21"/>
          <w:highlight w:val="none"/>
          <w:lang w:eastAsia="zh-CN"/>
        </w:rPr>
      </w:pPr>
      <w:r>
        <w:rPr>
          <w:rFonts w:hint="eastAsia" w:ascii="宋体" w:hAnsi="宋体" w:cs="宋体"/>
          <w:b/>
          <w:color w:val="auto"/>
          <w:kern w:val="2"/>
          <w:sz w:val="21"/>
          <w:szCs w:val="21"/>
          <w:highlight w:val="none"/>
          <w:lang w:eastAsia="zh-CN"/>
        </w:rPr>
        <w:t>改造内容及要求</w:t>
      </w:r>
    </w:p>
    <w:p w14:paraId="5608C083">
      <w:pPr>
        <w:keepNext w:val="0"/>
        <w:keepLines w:val="0"/>
        <w:pageBreakBefore w:val="0"/>
        <w:widowControl w:val="0"/>
        <w:numPr>
          <w:ilvl w:val="0"/>
          <w:numId w:val="0"/>
        </w:numPr>
        <w:tabs>
          <w:tab w:val="left" w:pos="424"/>
        </w:tabs>
        <w:kinsoku/>
        <w:wordWrap/>
        <w:overflowPunct/>
        <w:topLinePunct w:val="0"/>
        <w:autoSpaceDE/>
        <w:autoSpaceDN/>
        <w:bidi w:val="0"/>
        <w:snapToGrid w:val="0"/>
        <w:spacing w:before="159" w:beforeLines="50" w:beforeAutospacing="0" w:line="360" w:lineRule="auto"/>
        <w:textAlignment w:val="auto"/>
        <w:rPr>
          <w:rFonts w:hint="default" w:ascii="宋体" w:hAnsi="宋体" w:cs="宋体"/>
          <w:b/>
          <w:color w:val="auto"/>
          <w:kern w:val="2"/>
          <w:sz w:val="21"/>
          <w:szCs w:val="21"/>
          <w:highlight w:val="none"/>
          <w:lang w:val="en-US" w:eastAsia="zh-CN"/>
        </w:rPr>
      </w:pPr>
      <w:r>
        <w:rPr>
          <w:rFonts w:hint="eastAsia" w:ascii="宋体" w:hAnsi="宋体" w:cs="宋体"/>
          <w:b/>
          <w:color w:val="auto"/>
          <w:kern w:val="2"/>
          <w:sz w:val="21"/>
          <w:szCs w:val="21"/>
          <w:highlight w:val="none"/>
          <w:lang w:val="en-US" w:eastAsia="zh-CN"/>
        </w:rPr>
        <w:t>满足《数据中台接口更新开发及信创适配服务项目比选文件》要求。</w:t>
      </w:r>
    </w:p>
    <w:p w14:paraId="1EB6FD2D">
      <w:pPr>
        <w:keepNext w:val="0"/>
        <w:keepLines w:val="0"/>
        <w:pageBreakBefore w:val="0"/>
        <w:widowControl w:val="0"/>
        <w:tabs>
          <w:tab w:val="left" w:pos="424"/>
        </w:tabs>
        <w:kinsoku/>
        <w:wordWrap/>
        <w:overflowPunct/>
        <w:topLinePunct w:val="0"/>
        <w:autoSpaceDE/>
        <w:autoSpaceDN/>
        <w:bidi w:val="0"/>
        <w:snapToGrid w:val="0"/>
        <w:spacing w:before="159" w:beforeLines="50" w:beforeAutospacing="0" w:line="360" w:lineRule="auto"/>
        <w:textAlignment w:val="auto"/>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四、甲方乙方的权利和义务</w:t>
      </w:r>
    </w:p>
    <w:p w14:paraId="44EA5056">
      <w:pPr>
        <w:keepNext w:val="0"/>
        <w:keepLines w:val="0"/>
        <w:pageBreakBefore w:val="0"/>
        <w:widowControl w:val="0"/>
        <w:kinsoku/>
        <w:wordWrap/>
        <w:overflowPunct/>
        <w:topLinePunct w:val="0"/>
        <w:autoSpaceDE/>
        <w:autoSpaceDN/>
        <w:bidi w:val="0"/>
        <w:snapToGrid w:val="0"/>
        <w:spacing w:afterAutospacing="0" w:line="360" w:lineRule="auto"/>
        <w:ind w:firstLine="420"/>
        <w:textAlignment w:val="auto"/>
        <w:rPr>
          <w:rFonts w:hint="eastAsia" w:ascii="宋体" w:hAnsi="宋体"/>
          <w:color w:val="auto"/>
          <w:sz w:val="21"/>
          <w:szCs w:val="21"/>
          <w:highlight w:val="none"/>
        </w:rPr>
      </w:pPr>
      <w:r>
        <w:rPr>
          <w:rFonts w:hint="eastAsia" w:ascii="宋体" w:hAnsi="宋体"/>
          <w:color w:val="auto"/>
          <w:sz w:val="21"/>
          <w:szCs w:val="21"/>
          <w:highlight w:val="none"/>
        </w:rPr>
        <w:t>（一） 甲方的权利和义务</w:t>
      </w:r>
    </w:p>
    <w:p w14:paraId="5CBF6F54">
      <w:pPr>
        <w:pStyle w:val="6"/>
        <w:keepNext w:val="0"/>
        <w:keepLines w:val="0"/>
        <w:pageBreakBefore w:val="0"/>
        <w:widowControl w:val="0"/>
        <w:kinsoku/>
        <w:wordWrap/>
        <w:overflowPunct/>
        <w:topLinePunct w:val="0"/>
        <w:autoSpaceDE/>
        <w:autoSpaceDN/>
        <w:bidi w:val="0"/>
        <w:spacing w:before="0" w:beforeAutospacing="0" w:after="0" w:afterAutospacing="0" w:line="360" w:lineRule="auto"/>
        <w:ind w:firstLine="420"/>
        <w:textAlignment w:val="auto"/>
        <w:rPr>
          <w:rFonts w:hint="eastAsia"/>
          <w:color w:val="auto"/>
          <w:sz w:val="21"/>
          <w:szCs w:val="21"/>
        </w:rPr>
      </w:pPr>
      <w:r>
        <w:rPr>
          <w:rFonts w:hint="eastAsia"/>
          <w:color w:val="auto"/>
          <w:sz w:val="21"/>
          <w:szCs w:val="21"/>
        </w:rPr>
        <w:t>为确保合同有效完成，降低项目实施风险，为保障乙方有效进行技术服务工作，甲方应当向乙方提供下列工作条件和协作事项：</w:t>
      </w:r>
    </w:p>
    <w:p w14:paraId="5208C97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val="en-US" w:eastAsia="zh-CN"/>
        </w:rPr>
        <w:tab/>
      </w:r>
      <w:r>
        <w:rPr>
          <w:rFonts w:hint="eastAsia" w:ascii="宋体" w:hAnsi="宋体"/>
          <w:color w:val="auto"/>
          <w:sz w:val="21"/>
          <w:szCs w:val="21"/>
          <w:highlight w:val="none"/>
          <w:lang w:val="en-US" w:eastAsia="zh-CN"/>
        </w:rPr>
        <w:t>向乙方提供为本服务工作所需要的相关资料及完成本项目服务必要的协助等；</w:t>
      </w:r>
    </w:p>
    <w:p w14:paraId="0057284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cs="Times New Roman"/>
          <w:color w:val="auto"/>
          <w:sz w:val="21"/>
          <w:szCs w:val="21"/>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val="en-US" w:eastAsia="zh-CN"/>
        </w:rPr>
        <w:tab/>
      </w:r>
      <w:r>
        <w:rPr>
          <w:rFonts w:hint="eastAsia" w:ascii="宋体" w:hAnsi="宋体"/>
          <w:color w:val="auto"/>
          <w:sz w:val="21"/>
          <w:szCs w:val="21"/>
          <w:highlight w:val="none"/>
          <w:lang w:val="en-US" w:eastAsia="zh-CN"/>
        </w:rPr>
        <w:t>对乙方履行本合同约定的网站维护服务的具体实施情况进行监督、跟进、检查，对于乙方提交</w:t>
      </w:r>
      <w:r>
        <w:rPr>
          <w:rFonts w:hint="eastAsia" w:cs="Times New Roman"/>
          <w:color w:val="auto"/>
          <w:sz w:val="21"/>
          <w:szCs w:val="21"/>
        </w:rPr>
        <w:t>的服务报告进行验收；</w:t>
      </w:r>
    </w:p>
    <w:p w14:paraId="4404F01F">
      <w:pPr>
        <w:pStyle w:val="21"/>
        <w:keepNext w:val="0"/>
        <w:keepLines w:val="0"/>
        <w:pageBreakBefore w:val="0"/>
        <w:widowControl w:val="0"/>
        <w:tabs>
          <w:tab w:val="left" w:pos="851"/>
        </w:tabs>
        <w:kinsoku/>
        <w:wordWrap/>
        <w:overflowPunct/>
        <w:topLinePunct w:val="0"/>
        <w:autoSpaceDE/>
        <w:autoSpaceDN/>
        <w:bidi w:val="0"/>
        <w:spacing w:line="360" w:lineRule="auto"/>
        <w:jc w:val="both"/>
        <w:textAlignment w:val="auto"/>
        <w:rPr>
          <w:rFonts w:hint="eastAsia" w:cs="Times New Roman"/>
          <w:color w:val="auto"/>
          <w:sz w:val="21"/>
          <w:szCs w:val="21"/>
          <w:lang w:eastAsia="zh-CN"/>
        </w:rPr>
      </w:pPr>
      <w:r>
        <w:rPr>
          <w:rFonts w:hint="eastAsia" w:cs="Times New Roman"/>
          <w:color w:val="auto"/>
          <w:sz w:val="21"/>
          <w:szCs w:val="21"/>
        </w:rPr>
        <w:t>3、在付款条件满足的前提下，按期足额按照合同约定向乙方支付服务费</w:t>
      </w:r>
      <w:r>
        <w:rPr>
          <w:rFonts w:hint="eastAsia" w:cs="Times New Roman"/>
          <w:color w:val="auto"/>
          <w:sz w:val="21"/>
          <w:szCs w:val="21"/>
          <w:lang w:eastAsia="zh-CN"/>
        </w:rPr>
        <w:t>；</w:t>
      </w:r>
    </w:p>
    <w:p w14:paraId="43E6921A">
      <w:pPr>
        <w:pStyle w:val="21"/>
        <w:keepNext w:val="0"/>
        <w:keepLines w:val="0"/>
        <w:pageBreakBefore w:val="0"/>
        <w:widowControl w:val="0"/>
        <w:tabs>
          <w:tab w:val="left" w:pos="851"/>
        </w:tabs>
        <w:kinsoku/>
        <w:wordWrap/>
        <w:overflowPunct/>
        <w:topLinePunct w:val="0"/>
        <w:autoSpaceDE/>
        <w:autoSpaceDN/>
        <w:bidi w:val="0"/>
        <w:spacing w:line="360" w:lineRule="auto"/>
        <w:ind w:firstLine="520"/>
        <w:jc w:val="both"/>
        <w:textAlignment w:val="auto"/>
        <w:rPr>
          <w:rFonts w:cs="Times New Roman"/>
          <w:color w:val="auto"/>
          <w:sz w:val="21"/>
          <w:szCs w:val="21"/>
        </w:rPr>
      </w:pPr>
      <w:r>
        <w:rPr>
          <w:rFonts w:hint="eastAsia" w:cs="Times New Roman"/>
          <w:color w:val="auto"/>
          <w:sz w:val="21"/>
          <w:szCs w:val="21"/>
        </w:rPr>
        <w:t>4、甲方有权对乙方服务进行检查、督办或纠正。</w:t>
      </w:r>
    </w:p>
    <w:p w14:paraId="27F6A14B">
      <w:pPr>
        <w:keepNext w:val="0"/>
        <w:keepLines w:val="0"/>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color w:val="auto"/>
          <w:sz w:val="21"/>
          <w:szCs w:val="21"/>
          <w:highlight w:val="none"/>
        </w:rPr>
      </w:pPr>
      <w:r>
        <w:rPr>
          <w:rFonts w:hint="eastAsia" w:ascii="宋体" w:hAnsi="宋体"/>
          <w:color w:val="auto"/>
          <w:sz w:val="21"/>
          <w:szCs w:val="21"/>
          <w:highlight w:val="none"/>
        </w:rPr>
        <w:t>（二） 乙方的权利和义务</w:t>
      </w:r>
    </w:p>
    <w:p w14:paraId="6271535C">
      <w:pPr>
        <w:pStyle w:val="21"/>
        <w:keepNext w:val="0"/>
        <w:keepLines w:val="0"/>
        <w:pageBreakBefore w:val="0"/>
        <w:widowControl w:val="0"/>
        <w:tabs>
          <w:tab w:val="left" w:pos="893"/>
        </w:tabs>
        <w:kinsoku/>
        <w:wordWrap/>
        <w:overflowPunct/>
        <w:topLinePunct w:val="0"/>
        <w:autoSpaceDE/>
        <w:autoSpaceDN/>
        <w:bidi w:val="0"/>
        <w:spacing w:line="360" w:lineRule="auto"/>
        <w:ind w:firstLine="520"/>
        <w:jc w:val="both"/>
        <w:textAlignment w:val="auto"/>
        <w:rPr>
          <w:color w:val="auto"/>
          <w:sz w:val="21"/>
          <w:szCs w:val="21"/>
        </w:rPr>
      </w:pPr>
      <w:bookmarkStart w:id="0" w:name="bookmark13"/>
      <w:r>
        <w:rPr>
          <w:rFonts w:cs="Times New Roman"/>
          <w:color w:val="auto"/>
          <w:sz w:val="21"/>
          <w:szCs w:val="21"/>
        </w:rPr>
        <w:t>1</w:t>
      </w:r>
      <w:bookmarkEnd w:id="0"/>
      <w:r>
        <w:rPr>
          <w:color w:val="auto"/>
          <w:sz w:val="21"/>
          <w:szCs w:val="21"/>
        </w:rPr>
        <w:t>、</w:t>
      </w:r>
      <w:r>
        <w:rPr>
          <w:color w:val="auto"/>
          <w:sz w:val="21"/>
          <w:szCs w:val="21"/>
        </w:rPr>
        <w:tab/>
      </w:r>
      <w:r>
        <w:rPr>
          <w:color w:val="auto"/>
          <w:sz w:val="21"/>
          <w:szCs w:val="21"/>
        </w:rPr>
        <w:t>根据本合同要求向甲方提供维护服务。</w:t>
      </w:r>
    </w:p>
    <w:p w14:paraId="5C136173">
      <w:pPr>
        <w:pStyle w:val="21"/>
        <w:keepNext w:val="0"/>
        <w:keepLines w:val="0"/>
        <w:pageBreakBefore w:val="0"/>
        <w:widowControl w:val="0"/>
        <w:tabs>
          <w:tab w:val="left" w:pos="851"/>
        </w:tabs>
        <w:kinsoku/>
        <w:wordWrap/>
        <w:overflowPunct/>
        <w:topLinePunct w:val="0"/>
        <w:autoSpaceDE/>
        <w:autoSpaceDN/>
        <w:bidi w:val="0"/>
        <w:spacing w:line="360" w:lineRule="auto"/>
        <w:ind w:firstLine="520"/>
        <w:jc w:val="both"/>
        <w:textAlignment w:val="auto"/>
        <w:rPr>
          <w:color w:val="auto"/>
          <w:sz w:val="21"/>
          <w:szCs w:val="21"/>
        </w:rPr>
      </w:pPr>
      <w:bookmarkStart w:id="1" w:name="bookmark14"/>
      <w:r>
        <w:rPr>
          <w:rFonts w:cs="Times New Roman"/>
          <w:color w:val="auto"/>
          <w:sz w:val="21"/>
          <w:szCs w:val="21"/>
        </w:rPr>
        <w:t>2</w:t>
      </w:r>
      <w:bookmarkEnd w:id="1"/>
      <w:r>
        <w:rPr>
          <w:color w:val="auto"/>
          <w:sz w:val="21"/>
          <w:szCs w:val="21"/>
        </w:rPr>
        <w:t>、</w:t>
      </w:r>
      <w:r>
        <w:rPr>
          <w:color w:val="auto"/>
          <w:sz w:val="21"/>
          <w:szCs w:val="21"/>
        </w:rPr>
        <w:tab/>
      </w:r>
      <w:r>
        <w:rPr>
          <w:color w:val="auto"/>
          <w:sz w:val="21"/>
          <w:szCs w:val="21"/>
        </w:rPr>
        <w:t>乙方人员在甲方项目工程地点提供现场服务时，应严格遵守甲方的工作纪律、安全 管理，关键性操作要征得甲方技术人员同意，不得擅自切换、变更正在运行的业务系统。</w:t>
      </w:r>
    </w:p>
    <w:p w14:paraId="74FC73BF">
      <w:pPr>
        <w:pStyle w:val="21"/>
        <w:keepNext w:val="0"/>
        <w:keepLines w:val="0"/>
        <w:pageBreakBefore w:val="0"/>
        <w:widowControl w:val="0"/>
        <w:tabs>
          <w:tab w:val="left" w:pos="851"/>
        </w:tabs>
        <w:kinsoku/>
        <w:wordWrap/>
        <w:overflowPunct/>
        <w:topLinePunct w:val="0"/>
        <w:autoSpaceDE/>
        <w:autoSpaceDN/>
        <w:bidi w:val="0"/>
        <w:spacing w:line="360" w:lineRule="auto"/>
        <w:ind w:firstLine="520"/>
        <w:jc w:val="both"/>
        <w:textAlignment w:val="auto"/>
        <w:rPr>
          <w:rFonts w:hint="eastAsia"/>
          <w:color w:val="auto"/>
          <w:sz w:val="21"/>
          <w:szCs w:val="21"/>
        </w:rPr>
      </w:pPr>
      <w:bookmarkStart w:id="2" w:name="bookmark15"/>
      <w:r>
        <w:rPr>
          <w:rFonts w:cs="Times New Roman"/>
          <w:color w:val="auto"/>
          <w:sz w:val="21"/>
          <w:szCs w:val="21"/>
        </w:rPr>
        <w:t>3</w:t>
      </w:r>
      <w:bookmarkEnd w:id="2"/>
      <w:r>
        <w:rPr>
          <w:color w:val="auto"/>
          <w:sz w:val="21"/>
          <w:szCs w:val="21"/>
        </w:rPr>
        <w:t>、</w:t>
      </w:r>
      <w:r>
        <w:rPr>
          <w:color w:val="auto"/>
          <w:sz w:val="21"/>
          <w:szCs w:val="21"/>
        </w:rPr>
        <w:tab/>
      </w:r>
      <w:r>
        <w:rPr>
          <w:color w:val="auto"/>
          <w:sz w:val="21"/>
          <w:szCs w:val="21"/>
        </w:rPr>
        <w:t>乙方未事先取得甲方书面同意，不得将本合同项下的任何义务转让给第三方或委托第三方执行。</w:t>
      </w:r>
    </w:p>
    <w:p w14:paraId="5FF1F6B3">
      <w:pPr>
        <w:keepNext w:val="0"/>
        <w:keepLines w:val="0"/>
        <w:pageBreakBefore w:val="0"/>
        <w:widowControl w:val="0"/>
        <w:tabs>
          <w:tab w:val="left" w:pos="424"/>
        </w:tabs>
        <w:kinsoku/>
        <w:wordWrap/>
        <w:overflowPunct/>
        <w:topLinePunct w:val="0"/>
        <w:autoSpaceDE/>
        <w:autoSpaceDN/>
        <w:bidi w:val="0"/>
        <w:snapToGrid w:val="0"/>
        <w:spacing w:before="159" w:beforeLines="50" w:beforeAutospacing="0" w:line="360" w:lineRule="auto"/>
        <w:textAlignment w:val="auto"/>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五、培训要求</w:t>
      </w:r>
    </w:p>
    <w:p w14:paraId="42C5F42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提供不少于2次的培训。</w:t>
      </w:r>
    </w:p>
    <w:p w14:paraId="5DA42227">
      <w:pPr>
        <w:keepNext w:val="0"/>
        <w:keepLines w:val="0"/>
        <w:pageBreakBefore w:val="0"/>
        <w:widowControl w:val="0"/>
        <w:tabs>
          <w:tab w:val="left" w:pos="424"/>
        </w:tabs>
        <w:kinsoku/>
        <w:wordWrap/>
        <w:overflowPunct/>
        <w:topLinePunct w:val="0"/>
        <w:autoSpaceDE/>
        <w:autoSpaceDN/>
        <w:bidi w:val="0"/>
        <w:snapToGrid w:val="0"/>
        <w:spacing w:before="159" w:beforeLines="50" w:beforeAutospacing="0" w:line="360" w:lineRule="auto"/>
        <w:textAlignment w:val="auto"/>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六、服务期间（项目完成期限）</w:t>
      </w:r>
    </w:p>
    <w:p w14:paraId="33205CE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s="宋体"/>
          <w:color w:val="auto"/>
          <w:kern w:val="21"/>
          <w:sz w:val="21"/>
          <w:szCs w:val="21"/>
          <w:highlight w:val="none"/>
        </w:rPr>
        <w:t>自签订合同之日起</w:t>
      </w:r>
      <w:r>
        <w:rPr>
          <w:rFonts w:hint="eastAsia" w:ascii="宋体" w:hAnsi="宋体" w:cs="宋体"/>
          <w:color w:val="auto"/>
          <w:kern w:val="21"/>
          <w:sz w:val="21"/>
          <w:szCs w:val="21"/>
          <w:highlight w:val="none"/>
          <w:u w:val="single"/>
          <w:lang w:val="en-US" w:eastAsia="zh-CN"/>
        </w:rPr>
        <w:t xml:space="preserve"> 50 </w:t>
      </w:r>
      <w:r>
        <w:rPr>
          <w:rFonts w:hint="eastAsia" w:ascii="宋体" w:hAnsi="宋体" w:cs="宋体"/>
          <w:color w:val="auto"/>
          <w:kern w:val="21"/>
          <w:sz w:val="21"/>
          <w:szCs w:val="21"/>
          <w:highlight w:val="none"/>
          <w:lang w:val="en-US" w:eastAsia="zh-CN"/>
        </w:rPr>
        <w:t>个工作日</w:t>
      </w:r>
      <w:r>
        <w:rPr>
          <w:rFonts w:hint="eastAsia" w:ascii="宋体" w:hAnsi="宋体" w:cs="宋体"/>
          <w:color w:val="auto"/>
          <w:kern w:val="21"/>
          <w:sz w:val="21"/>
          <w:szCs w:val="21"/>
          <w:highlight w:val="none"/>
        </w:rPr>
        <w:t>。</w:t>
      </w:r>
    </w:p>
    <w:p w14:paraId="21B9CE1D">
      <w:pPr>
        <w:keepNext w:val="0"/>
        <w:keepLines w:val="0"/>
        <w:pageBreakBefore w:val="0"/>
        <w:widowControl w:val="0"/>
        <w:tabs>
          <w:tab w:val="left" w:pos="424"/>
        </w:tabs>
        <w:kinsoku/>
        <w:wordWrap/>
        <w:overflowPunct/>
        <w:topLinePunct w:val="0"/>
        <w:autoSpaceDE/>
        <w:autoSpaceDN/>
        <w:bidi w:val="0"/>
        <w:snapToGrid w:val="0"/>
        <w:spacing w:before="159" w:beforeLines="50" w:beforeAutospacing="0" w:line="360" w:lineRule="auto"/>
        <w:textAlignment w:val="auto"/>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七、付款方式</w:t>
      </w:r>
    </w:p>
    <w:p w14:paraId="193BC99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s="Times New Roman"/>
          <w:color w:val="auto"/>
          <w:sz w:val="21"/>
          <w:szCs w:val="21"/>
          <w:highlight w:val="none"/>
        </w:rPr>
        <w:t>合同签订后5个工作日内，</w:t>
      </w:r>
      <w:r>
        <w:rPr>
          <w:rFonts w:hint="eastAsia" w:ascii="宋体" w:hAnsi="宋体" w:eastAsia="宋体" w:cs="Times New Roman"/>
          <w:color w:val="auto"/>
          <w:sz w:val="21"/>
          <w:szCs w:val="21"/>
          <w:highlight w:val="none"/>
          <w:lang w:val="en-US" w:eastAsia="zh-CN"/>
        </w:rPr>
        <w:t>收到乙方等额增值税普通发票，</w:t>
      </w:r>
      <w:r>
        <w:rPr>
          <w:rFonts w:hint="eastAsia" w:ascii="宋体" w:hAnsi="宋体" w:eastAsia="宋体" w:cs="Times New Roman"/>
          <w:color w:val="auto"/>
          <w:sz w:val="21"/>
          <w:szCs w:val="21"/>
          <w:highlight w:val="none"/>
        </w:rPr>
        <w:t>甲方向乙方支付合同金额的50%作为项目预付款；</w:t>
      </w:r>
    </w:p>
    <w:p w14:paraId="3D5B1FC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2、项目开发完成，完成部署经甲方同意进入试运行阶段，收到乙方等额增值税普通发票，5</w:t>
      </w:r>
      <w:r>
        <w:rPr>
          <w:rFonts w:hint="eastAsia" w:ascii="宋体" w:hAnsi="宋体" w:eastAsia="宋体" w:cs="Times New Roman"/>
          <w:color w:val="auto"/>
          <w:sz w:val="21"/>
          <w:szCs w:val="21"/>
          <w:highlight w:val="none"/>
        </w:rPr>
        <w:t>个工作日内甲方向乙方支付合同金额的</w:t>
      </w:r>
      <w:r>
        <w:rPr>
          <w:rFonts w:hint="eastAsia" w:ascii="宋体" w:hAnsi="宋体" w:eastAsia="宋体" w:cs="Times New Roman"/>
          <w:color w:val="auto"/>
          <w:sz w:val="21"/>
          <w:szCs w:val="21"/>
          <w:highlight w:val="none"/>
          <w:lang w:val="en-US" w:eastAsia="zh-CN"/>
        </w:rPr>
        <w:t>35</w:t>
      </w:r>
      <w:r>
        <w:rPr>
          <w:rFonts w:hint="eastAsia" w:ascii="宋体" w:hAnsi="宋体" w:eastAsia="宋体" w:cs="Times New Roman"/>
          <w:color w:val="auto"/>
          <w:sz w:val="21"/>
          <w:szCs w:val="21"/>
          <w:highlight w:val="none"/>
        </w:rPr>
        <w:t>%作为项目</w:t>
      </w:r>
      <w:r>
        <w:rPr>
          <w:rFonts w:hint="eastAsia" w:ascii="宋体" w:hAnsi="宋体" w:eastAsia="宋体" w:cs="Times New Roman"/>
          <w:color w:val="auto"/>
          <w:sz w:val="21"/>
          <w:szCs w:val="21"/>
          <w:highlight w:val="none"/>
          <w:lang w:val="en-US" w:eastAsia="zh-CN"/>
        </w:rPr>
        <w:t>进度</w:t>
      </w:r>
      <w:r>
        <w:rPr>
          <w:rFonts w:hint="eastAsia" w:ascii="宋体" w:hAnsi="宋体" w:eastAsia="宋体" w:cs="Times New Roman"/>
          <w:color w:val="auto"/>
          <w:sz w:val="21"/>
          <w:szCs w:val="21"/>
          <w:highlight w:val="none"/>
        </w:rPr>
        <w:t>款；</w:t>
      </w:r>
    </w:p>
    <w:p w14:paraId="071E956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color w:val="auto"/>
          <w:sz w:val="21"/>
          <w:szCs w:val="21"/>
          <w:highlight w:val="none"/>
        </w:rPr>
      </w:pPr>
      <w:r>
        <w:rPr>
          <w:rFonts w:hint="eastAsia" w:ascii="宋体" w:hAnsi="宋体" w:eastAsia="宋体" w:cs="Times New Roman"/>
          <w:color w:val="auto"/>
          <w:sz w:val="21"/>
          <w:szCs w:val="21"/>
          <w:highlight w:val="none"/>
          <w:lang w:val="en-US" w:eastAsia="zh-CN"/>
        </w:rPr>
        <w:t>3、项目通过</w:t>
      </w:r>
      <w:r>
        <w:rPr>
          <w:rFonts w:hint="eastAsia"/>
          <w:color w:val="auto"/>
          <w:sz w:val="21"/>
          <w:szCs w:val="21"/>
          <w:highlight w:val="none"/>
        </w:rPr>
        <w:t>甲方的</w:t>
      </w:r>
      <w:r>
        <w:rPr>
          <w:color w:val="auto"/>
          <w:sz w:val="21"/>
          <w:szCs w:val="21"/>
          <w:highlight w:val="none"/>
        </w:rPr>
        <w:t>验收，</w:t>
      </w:r>
      <w:r>
        <w:rPr>
          <w:rFonts w:hint="eastAsia"/>
          <w:color w:val="auto"/>
          <w:sz w:val="21"/>
          <w:szCs w:val="21"/>
          <w:highlight w:val="none"/>
        </w:rPr>
        <w:t>甲方</w:t>
      </w:r>
      <w:r>
        <w:rPr>
          <w:color w:val="auto"/>
          <w:sz w:val="21"/>
          <w:szCs w:val="21"/>
          <w:highlight w:val="none"/>
        </w:rPr>
        <w:t>自收到</w:t>
      </w:r>
      <w:r>
        <w:rPr>
          <w:rFonts w:hint="eastAsia"/>
          <w:color w:val="auto"/>
          <w:sz w:val="21"/>
          <w:szCs w:val="21"/>
          <w:highlight w:val="none"/>
        </w:rPr>
        <w:t>乙方</w:t>
      </w:r>
      <w:r>
        <w:rPr>
          <w:color w:val="auto"/>
          <w:sz w:val="21"/>
          <w:szCs w:val="21"/>
          <w:highlight w:val="none"/>
        </w:rPr>
        <w:t>开具等额有效发票</w:t>
      </w:r>
      <w:r>
        <w:rPr>
          <w:rFonts w:hint="eastAsia"/>
          <w:color w:val="auto"/>
          <w:sz w:val="21"/>
          <w:szCs w:val="21"/>
          <w:highlight w:val="none"/>
          <w:lang w:val="en-US" w:eastAsia="zh-CN"/>
        </w:rPr>
        <w:t>5</w:t>
      </w:r>
      <w:r>
        <w:rPr>
          <w:color w:val="auto"/>
          <w:sz w:val="21"/>
          <w:szCs w:val="21"/>
          <w:highlight w:val="none"/>
        </w:rPr>
        <w:t>日内支付</w:t>
      </w:r>
      <w:r>
        <w:rPr>
          <w:rFonts w:hint="eastAsia"/>
          <w:color w:val="auto"/>
          <w:sz w:val="21"/>
          <w:szCs w:val="21"/>
          <w:highlight w:val="none"/>
        </w:rPr>
        <w:t>合同剩余款项。</w:t>
      </w:r>
    </w:p>
    <w:p w14:paraId="688A53D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b/>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s="宋体"/>
          <w:color w:val="auto"/>
          <w:sz w:val="21"/>
          <w:szCs w:val="21"/>
          <w:highlight w:val="none"/>
        </w:rPr>
        <w:t>乙方</w:t>
      </w:r>
      <w:r>
        <w:rPr>
          <w:rFonts w:hint="eastAsia" w:ascii="宋体" w:hAnsi="宋体" w:cs="宋体"/>
          <w:color w:val="auto"/>
          <w:sz w:val="21"/>
          <w:szCs w:val="21"/>
          <w:highlight w:val="none"/>
          <w:lang w:eastAsia="zh-Hans"/>
        </w:rPr>
        <w:t>应在</w:t>
      </w:r>
      <w:r>
        <w:rPr>
          <w:rFonts w:hint="eastAsia" w:ascii="宋体" w:hAnsi="宋体" w:cs="宋体"/>
          <w:color w:val="auto"/>
          <w:sz w:val="21"/>
          <w:szCs w:val="21"/>
          <w:highlight w:val="none"/>
        </w:rPr>
        <w:t>甲方</w:t>
      </w:r>
      <w:r>
        <w:rPr>
          <w:rFonts w:hint="eastAsia" w:ascii="宋体" w:hAnsi="宋体" w:cs="宋体"/>
          <w:color w:val="auto"/>
          <w:sz w:val="21"/>
          <w:szCs w:val="21"/>
          <w:highlight w:val="none"/>
          <w:lang w:eastAsia="zh-Hans"/>
        </w:rPr>
        <w:t>付款前向</w:t>
      </w:r>
      <w:r>
        <w:rPr>
          <w:rFonts w:hint="eastAsia" w:ascii="宋体" w:hAnsi="宋体" w:cs="宋体"/>
          <w:color w:val="auto"/>
          <w:sz w:val="21"/>
          <w:szCs w:val="21"/>
          <w:highlight w:val="none"/>
        </w:rPr>
        <w:t>甲方</w:t>
      </w:r>
      <w:r>
        <w:rPr>
          <w:rFonts w:hint="eastAsia" w:ascii="宋体" w:hAnsi="宋体" w:cs="宋体"/>
          <w:color w:val="auto"/>
          <w:sz w:val="21"/>
          <w:szCs w:val="21"/>
          <w:highlight w:val="none"/>
          <w:lang w:eastAsia="zh-Hans"/>
        </w:rPr>
        <w:t>开具正式发票，否则</w:t>
      </w:r>
      <w:r>
        <w:rPr>
          <w:rFonts w:hint="eastAsia" w:ascii="宋体" w:hAnsi="宋体" w:cs="宋体"/>
          <w:color w:val="auto"/>
          <w:sz w:val="21"/>
          <w:szCs w:val="21"/>
          <w:highlight w:val="none"/>
        </w:rPr>
        <w:t>甲方</w:t>
      </w:r>
      <w:r>
        <w:rPr>
          <w:rFonts w:hint="eastAsia" w:ascii="宋体" w:hAnsi="宋体" w:cs="宋体"/>
          <w:color w:val="auto"/>
          <w:sz w:val="21"/>
          <w:szCs w:val="21"/>
          <w:highlight w:val="none"/>
          <w:lang w:eastAsia="zh-Hans"/>
        </w:rPr>
        <w:t>有权暂停付款且不承担逾期付款的违约责任。因本项目采用财政资金，因此</w:t>
      </w:r>
      <w:r>
        <w:rPr>
          <w:rFonts w:hint="eastAsia" w:ascii="宋体" w:hAnsi="宋体" w:cs="宋体"/>
          <w:color w:val="auto"/>
          <w:sz w:val="21"/>
          <w:szCs w:val="21"/>
          <w:highlight w:val="none"/>
        </w:rPr>
        <w:t>甲方</w:t>
      </w:r>
      <w:r>
        <w:rPr>
          <w:rFonts w:hint="eastAsia" w:ascii="宋体" w:hAnsi="宋体" w:cs="宋体"/>
          <w:color w:val="auto"/>
          <w:sz w:val="21"/>
          <w:szCs w:val="21"/>
          <w:highlight w:val="none"/>
          <w:lang w:eastAsia="zh-Hans"/>
        </w:rPr>
        <w:t>在上述及本项目合同其他条款约定的付款时间为</w:t>
      </w:r>
      <w:r>
        <w:rPr>
          <w:rFonts w:hint="eastAsia" w:ascii="宋体" w:hAnsi="宋体" w:cs="宋体"/>
          <w:color w:val="auto"/>
          <w:sz w:val="21"/>
          <w:szCs w:val="21"/>
          <w:highlight w:val="none"/>
        </w:rPr>
        <w:t>甲方</w:t>
      </w:r>
      <w:r>
        <w:rPr>
          <w:rFonts w:hint="eastAsia" w:ascii="宋体" w:hAnsi="宋体" w:cs="宋体"/>
          <w:color w:val="auto"/>
          <w:sz w:val="21"/>
          <w:szCs w:val="21"/>
          <w:highlight w:val="none"/>
          <w:lang w:eastAsia="zh-Hans"/>
        </w:rPr>
        <w:t>向财政部门提出办理财政支付申请手续的时间（不含政府财政支付部门审核的时间）。因</w:t>
      </w:r>
      <w:r>
        <w:rPr>
          <w:rFonts w:hint="eastAsia" w:ascii="宋体" w:hAnsi="宋体" w:cs="宋体"/>
          <w:color w:val="auto"/>
          <w:sz w:val="21"/>
          <w:szCs w:val="21"/>
          <w:highlight w:val="none"/>
        </w:rPr>
        <w:t>乙方</w:t>
      </w:r>
      <w:r>
        <w:rPr>
          <w:rFonts w:hint="eastAsia" w:ascii="宋体" w:hAnsi="宋体" w:cs="宋体"/>
          <w:color w:val="auto"/>
          <w:sz w:val="21"/>
          <w:szCs w:val="21"/>
          <w:highlight w:val="none"/>
          <w:lang w:eastAsia="zh-Hans"/>
        </w:rPr>
        <w:t>、财政或上级主管部门等原因导致的支付延迟，</w:t>
      </w:r>
      <w:r>
        <w:rPr>
          <w:rFonts w:hint="eastAsia" w:ascii="宋体" w:hAnsi="宋体" w:cs="宋体"/>
          <w:color w:val="auto"/>
          <w:sz w:val="21"/>
          <w:szCs w:val="21"/>
          <w:highlight w:val="none"/>
        </w:rPr>
        <w:t>甲方</w:t>
      </w:r>
      <w:r>
        <w:rPr>
          <w:rFonts w:hint="eastAsia" w:ascii="宋体" w:hAnsi="宋体" w:cs="宋体"/>
          <w:color w:val="auto"/>
          <w:sz w:val="21"/>
          <w:szCs w:val="21"/>
          <w:highlight w:val="none"/>
          <w:lang w:eastAsia="zh-Hans"/>
        </w:rPr>
        <w:t>不承担违约责任。</w:t>
      </w:r>
    </w:p>
    <w:p w14:paraId="33841B90">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auto"/>
          <w:sz w:val="21"/>
          <w:szCs w:val="21"/>
          <w:highlight w:val="none"/>
        </w:rPr>
      </w:pPr>
      <w:r>
        <w:rPr>
          <w:rFonts w:hint="eastAsia" w:ascii="宋体" w:hAnsi="宋体"/>
          <w:b/>
          <w:color w:val="auto"/>
          <w:sz w:val="21"/>
          <w:szCs w:val="21"/>
          <w:highlight w:val="none"/>
        </w:rPr>
        <w:t>八、验收标准及要求</w:t>
      </w:r>
    </w:p>
    <w:p w14:paraId="70570BE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甲方在</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完成所有内容，收到乙方项目验收申请之日起7日内按照合同的约定对履约情况</w:t>
      </w:r>
      <w:r>
        <w:rPr>
          <w:rFonts w:hint="eastAsia" w:ascii="宋体" w:hAnsi="宋体"/>
          <w:color w:val="auto"/>
          <w:sz w:val="21"/>
          <w:szCs w:val="21"/>
          <w:highlight w:val="none"/>
          <w:lang w:eastAsia="zh-CN"/>
        </w:rPr>
        <w:t>组织</w:t>
      </w:r>
      <w:r>
        <w:rPr>
          <w:rFonts w:hint="eastAsia" w:ascii="宋体" w:hAnsi="宋体"/>
          <w:color w:val="auto"/>
          <w:sz w:val="21"/>
          <w:szCs w:val="21"/>
          <w:highlight w:val="none"/>
        </w:rPr>
        <w:t>验收，对甲方的服务履约情况进行确认。</w:t>
      </w:r>
    </w:p>
    <w:p w14:paraId="0358513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按国家有关规定、采购文件的质量要求和技术指标、乙方的响应文件的承诺、合同约定标准进行验收。</w:t>
      </w:r>
    </w:p>
    <w:p w14:paraId="0FD77F1C">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auto"/>
          <w:sz w:val="21"/>
          <w:szCs w:val="21"/>
          <w:highlight w:val="none"/>
        </w:rPr>
      </w:pPr>
      <w:r>
        <w:rPr>
          <w:rFonts w:hint="eastAsia" w:ascii="宋体" w:hAnsi="宋体"/>
          <w:b/>
          <w:color w:val="auto"/>
          <w:sz w:val="21"/>
          <w:szCs w:val="21"/>
          <w:highlight w:val="none"/>
        </w:rPr>
        <w:t>九、违约责任与赔偿损失</w:t>
      </w:r>
    </w:p>
    <w:p w14:paraId="30BF8FD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乙方提供的服务不符合采购文件、响应文件或本合同规定的，甲方有权拒收，并且乙方须向甲方支付本合同总价5%的违约金。</w:t>
      </w:r>
    </w:p>
    <w:p w14:paraId="390092AE">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乙方未能按本合同规定的交货时间提供服务，从逾期之日起每日按本合同总价3‰的数额向甲方支付违约金；逾期半个月以上的，甲方有权终止合同，由此造成的甲方经济损失由乙方承担。</w:t>
      </w:r>
    </w:p>
    <w:p w14:paraId="4475284E">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甲方无正当理由拒收接受服务，到期拒付服务款项的，甲方向乙方偿付本合同总</w:t>
      </w:r>
      <w:r>
        <w:rPr>
          <w:rFonts w:hint="eastAsia" w:ascii="宋体" w:hAnsi="宋体"/>
          <w:color w:val="auto"/>
          <w:sz w:val="21"/>
          <w:szCs w:val="21"/>
          <w:highlight w:val="none"/>
          <w:lang w:val="en-US" w:eastAsia="zh-CN"/>
        </w:rPr>
        <w:t>价</w:t>
      </w:r>
      <w:r>
        <w:rPr>
          <w:rFonts w:hint="eastAsia" w:ascii="宋体" w:hAnsi="宋体"/>
          <w:color w:val="auto"/>
          <w:sz w:val="21"/>
          <w:szCs w:val="21"/>
          <w:highlight w:val="none"/>
        </w:rPr>
        <w:t>5%的违约金。甲方人逾期付款，则每日按本合同总价的3‰向乙方偿付违约金。</w:t>
      </w:r>
    </w:p>
    <w:p w14:paraId="6FF217D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其他违约责任按《中华人民共和国民法典》处理。</w:t>
      </w:r>
    </w:p>
    <w:p w14:paraId="7DB78546">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auto"/>
          <w:sz w:val="21"/>
          <w:szCs w:val="21"/>
          <w:highlight w:val="none"/>
        </w:rPr>
      </w:pPr>
      <w:r>
        <w:rPr>
          <w:rFonts w:hint="eastAsia" w:ascii="宋体" w:hAnsi="宋体"/>
          <w:b/>
          <w:color w:val="auto"/>
          <w:sz w:val="21"/>
          <w:szCs w:val="21"/>
          <w:highlight w:val="none"/>
        </w:rPr>
        <w:t>十、争端的解决</w:t>
      </w:r>
    </w:p>
    <w:p w14:paraId="7388D62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合同执行过程中发生的任何争议，如双方不能通过友好协商解决，</w:t>
      </w:r>
      <w:r>
        <w:rPr>
          <w:rFonts w:hint="eastAsia" w:ascii="宋体" w:hAnsi="宋体"/>
          <w:color w:val="auto"/>
          <w:sz w:val="21"/>
          <w:szCs w:val="21"/>
          <w:highlight w:val="none"/>
          <w:lang w:val="en-US" w:eastAsia="zh-CN"/>
        </w:rPr>
        <w:t>双方均有权向甲方所在地人民法院提起诉讼</w:t>
      </w:r>
      <w:r>
        <w:rPr>
          <w:rFonts w:hint="eastAsia" w:ascii="宋体" w:hAnsi="宋体"/>
          <w:color w:val="auto"/>
          <w:sz w:val="21"/>
          <w:szCs w:val="21"/>
          <w:highlight w:val="none"/>
        </w:rPr>
        <w:t>。</w:t>
      </w:r>
    </w:p>
    <w:p w14:paraId="79295BF0">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auto"/>
          <w:sz w:val="21"/>
          <w:szCs w:val="21"/>
          <w:highlight w:val="none"/>
        </w:rPr>
      </w:pPr>
      <w:r>
        <w:rPr>
          <w:rFonts w:hint="eastAsia" w:ascii="宋体" w:hAnsi="宋体"/>
          <w:b/>
          <w:color w:val="auto"/>
          <w:sz w:val="21"/>
          <w:szCs w:val="21"/>
          <w:highlight w:val="none"/>
        </w:rPr>
        <w:t>十一、不可抗力</w:t>
      </w:r>
    </w:p>
    <w:p w14:paraId="095F4E3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76611C0">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auto"/>
          <w:sz w:val="21"/>
          <w:szCs w:val="21"/>
          <w:highlight w:val="none"/>
        </w:rPr>
      </w:pPr>
      <w:r>
        <w:rPr>
          <w:rFonts w:hint="eastAsia" w:ascii="宋体" w:hAnsi="宋体"/>
          <w:b/>
          <w:color w:val="auto"/>
          <w:sz w:val="21"/>
          <w:szCs w:val="21"/>
          <w:highlight w:val="none"/>
        </w:rPr>
        <w:t>十二、税费</w:t>
      </w:r>
    </w:p>
    <w:p w14:paraId="288E82D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在中国境内、外发生的与本合同执行有关的一切税费均由乙方负担。</w:t>
      </w:r>
    </w:p>
    <w:p w14:paraId="3B7E43F8">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auto"/>
          <w:sz w:val="21"/>
          <w:szCs w:val="21"/>
          <w:highlight w:val="none"/>
        </w:rPr>
      </w:pPr>
      <w:r>
        <w:rPr>
          <w:rFonts w:hint="eastAsia" w:ascii="宋体" w:hAnsi="宋体"/>
          <w:b/>
          <w:color w:val="auto"/>
          <w:sz w:val="21"/>
          <w:szCs w:val="21"/>
          <w:highlight w:val="none"/>
        </w:rPr>
        <w:t>十三、其他</w:t>
      </w:r>
    </w:p>
    <w:p w14:paraId="12C3E73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b/>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本合同所有附件、采购文件、响应文件、成交通知书均为合同的有效组成部分，与本合同具有同等法律效力。</w:t>
      </w:r>
    </w:p>
    <w:p w14:paraId="5EEA034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在执行本合同的过程中，所有经双方签署确认的文件（包括会议纪要、补充协议、往来信函）即成为本合同的有效组成部分。</w:t>
      </w:r>
    </w:p>
    <w:p w14:paraId="1E7DF6F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 xml:space="preserve">如一方地址、电话、传真号码有变更，应在变更当日内书面通知对方，否则，应承担相应责任。 </w:t>
      </w:r>
    </w:p>
    <w:p w14:paraId="4D1694F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xml:space="preserve"> 除甲方事先书面同意外，乙方不得部分或全部转让其应履行的合同项下的义务。</w:t>
      </w:r>
    </w:p>
    <w:p w14:paraId="2678F7E8">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auto"/>
          <w:sz w:val="21"/>
          <w:szCs w:val="21"/>
          <w:highlight w:val="none"/>
        </w:rPr>
      </w:pPr>
      <w:r>
        <w:rPr>
          <w:rFonts w:hint="eastAsia" w:ascii="宋体" w:hAnsi="宋体"/>
          <w:b/>
          <w:color w:val="auto"/>
          <w:sz w:val="21"/>
          <w:szCs w:val="21"/>
          <w:highlight w:val="none"/>
        </w:rPr>
        <w:t>十四、合同生效</w:t>
      </w:r>
    </w:p>
    <w:p w14:paraId="0F3FD2F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本合同在甲乙双方法定代表人或其授权代表签字盖章后生效。</w:t>
      </w:r>
    </w:p>
    <w:p w14:paraId="306983B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合同一式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份，</w:t>
      </w:r>
      <w:r>
        <w:rPr>
          <w:bCs/>
          <w:color w:val="auto"/>
          <w:sz w:val="21"/>
          <w:szCs w:val="21"/>
          <w:highlight w:val="none"/>
        </w:rPr>
        <w:t>甲方执</w:t>
      </w:r>
      <w:r>
        <w:rPr>
          <w:bCs/>
          <w:color w:val="auto"/>
          <w:sz w:val="21"/>
          <w:szCs w:val="21"/>
          <w:highlight w:val="none"/>
          <w:u w:val="single"/>
        </w:rPr>
        <w:t xml:space="preserve"> </w:t>
      </w:r>
      <w:r>
        <w:rPr>
          <w:rFonts w:hint="eastAsia"/>
          <w:bCs/>
          <w:color w:val="auto"/>
          <w:sz w:val="21"/>
          <w:szCs w:val="21"/>
          <w:highlight w:val="none"/>
          <w:u w:val="single"/>
          <w:lang w:val="en-US" w:eastAsia="zh-CN"/>
        </w:rPr>
        <w:t>贰</w:t>
      </w:r>
      <w:r>
        <w:rPr>
          <w:bCs/>
          <w:color w:val="auto"/>
          <w:sz w:val="21"/>
          <w:szCs w:val="21"/>
          <w:highlight w:val="none"/>
          <w:u w:val="single"/>
        </w:rPr>
        <w:t xml:space="preserve"> </w:t>
      </w:r>
      <w:r>
        <w:rPr>
          <w:bCs/>
          <w:color w:val="auto"/>
          <w:sz w:val="21"/>
          <w:szCs w:val="21"/>
          <w:highlight w:val="none"/>
        </w:rPr>
        <w:t>份，乙方执</w:t>
      </w:r>
      <w:r>
        <w:rPr>
          <w:bCs/>
          <w:color w:val="auto"/>
          <w:sz w:val="21"/>
          <w:szCs w:val="21"/>
          <w:highlight w:val="none"/>
          <w:u w:val="single"/>
        </w:rPr>
        <w:t xml:space="preserve"> </w:t>
      </w:r>
      <w:r>
        <w:rPr>
          <w:rFonts w:hint="eastAsia"/>
          <w:bCs/>
          <w:color w:val="auto"/>
          <w:sz w:val="21"/>
          <w:szCs w:val="21"/>
          <w:highlight w:val="none"/>
          <w:u w:val="single"/>
          <w:lang w:val="en-US" w:eastAsia="zh-CN"/>
        </w:rPr>
        <w:t>壹</w:t>
      </w:r>
      <w:r>
        <w:rPr>
          <w:bCs/>
          <w:color w:val="auto"/>
          <w:sz w:val="21"/>
          <w:szCs w:val="21"/>
          <w:highlight w:val="none"/>
          <w:u w:val="single"/>
        </w:rPr>
        <w:t xml:space="preserve"> </w:t>
      </w:r>
      <w:r>
        <w:rPr>
          <w:bCs/>
          <w:color w:val="auto"/>
          <w:sz w:val="21"/>
          <w:szCs w:val="21"/>
          <w:highlight w:val="none"/>
        </w:rPr>
        <w:t>份</w:t>
      </w:r>
      <w:r>
        <w:rPr>
          <w:rFonts w:hint="eastAsia" w:ascii="宋体" w:hAnsi="宋体"/>
          <w:color w:val="auto"/>
          <w:sz w:val="21"/>
          <w:szCs w:val="21"/>
          <w:highlight w:val="none"/>
        </w:rPr>
        <w:t>。</w:t>
      </w:r>
    </w:p>
    <w:p w14:paraId="151EBD91">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color w:val="auto"/>
          <w:sz w:val="21"/>
          <w:szCs w:val="21"/>
          <w:highlight w:val="none"/>
        </w:rPr>
      </w:pPr>
      <w:r>
        <w:rPr>
          <w:rFonts w:hint="eastAsia" w:ascii="宋体" w:hAnsi="宋体"/>
          <w:b/>
          <w:color w:val="auto"/>
          <w:sz w:val="21"/>
          <w:szCs w:val="21"/>
          <w:highlight w:val="none"/>
        </w:rPr>
        <w:t>十五、附件</w:t>
      </w:r>
    </w:p>
    <w:p w14:paraId="6D1FA0E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《保密协议书》</w:t>
      </w:r>
    </w:p>
    <w:p w14:paraId="11FC61E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《保密承诺书》</w:t>
      </w:r>
    </w:p>
    <w:p w14:paraId="7D9160BB">
      <w:pPr>
        <w:spacing w:line="360" w:lineRule="auto"/>
        <w:ind w:firstLine="420" w:firstLineChars="200"/>
        <w:rPr>
          <w:rFonts w:hint="eastAsia" w:ascii="宋体" w:hAnsi="宋体" w:cs="宋体"/>
          <w:sz w:val="21"/>
          <w:szCs w:val="21"/>
        </w:rPr>
      </w:pPr>
      <w:r>
        <w:rPr>
          <w:rFonts w:hint="eastAsia" w:ascii="宋体" w:hAnsi="宋体" w:cs="宋体"/>
          <w:sz w:val="21"/>
          <w:szCs w:val="21"/>
        </w:rPr>
        <w:t>(以下无正文)</w:t>
      </w:r>
    </w:p>
    <w:p w14:paraId="4E60E18E">
      <w:pPr>
        <w:spacing w:line="340" w:lineRule="exact"/>
        <w:rPr>
          <w:rFonts w:hint="eastAsia" w:ascii="宋体" w:hAnsi="宋体" w:cs="宋体"/>
          <w:bCs/>
          <w:color w:val="BEBEBE"/>
          <w:sz w:val="21"/>
          <w:szCs w:val="21"/>
        </w:rPr>
      </w:pPr>
    </w:p>
    <w:p w14:paraId="532A5BB3">
      <w:pPr>
        <w:spacing w:line="340" w:lineRule="exact"/>
        <w:rPr>
          <w:rFonts w:hint="eastAsia" w:ascii="宋体" w:hAnsi="宋体" w:cs="宋体"/>
          <w:bCs/>
          <w:color w:val="BEBEBE"/>
          <w:sz w:val="21"/>
          <w:szCs w:val="21"/>
        </w:rPr>
      </w:pPr>
    </w:p>
    <w:p w14:paraId="4E08A860">
      <w:pPr>
        <w:spacing w:line="340" w:lineRule="exact"/>
        <w:rPr>
          <w:rFonts w:hint="eastAsia" w:ascii="宋体" w:hAnsi="宋体" w:cs="宋体"/>
          <w:bCs/>
          <w:color w:val="BEBEBE"/>
          <w:sz w:val="21"/>
          <w:szCs w:val="21"/>
        </w:rPr>
      </w:pPr>
    </w:p>
    <w:p w14:paraId="682F5334">
      <w:pPr>
        <w:spacing w:line="340" w:lineRule="exact"/>
        <w:rPr>
          <w:rFonts w:hint="eastAsia" w:ascii="宋体" w:hAnsi="宋体" w:cs="宋体"/>
          <w:bCs/>
          <w:color w:val="BEBEBE"/>
          <w:sz w:val="24"/>
          <w:szCs w:val="24"/>
        </w:rPr>
      </w:pPr>
    </w:p>
    <w:p w14:paraId="2A78917A">
      <w:pPr>
        <w:spacing w:line="340" w:lineRule="exact"/>
        <w:jc w:val="center"/>
        <w:rPr>
          <w:rFonts w:hint="eastAsia" w:ascii="宋体" w:hAnsi="宋体" w:cs="宋体"/>
          <w:bCs/>
          <w:color w:val="BEBEBE"/>
          <w:sz w:val="24"/>
          <w:szCs w:val="24"/>
        </w:rPr>
      </w:pPr>
      <w:r>
        <w:rPr>
          <w:rFonts w:hint="eastAsia" w:ascii="宋体" w:hAnsi="宋体" w:cs="宋体"/>
          <w:bCs/>
          <w:color w:val="BEBEBE"/>
          <w:sz w:val="24"/>
          <w:szCs w:val="24"/>
        </w:rPr>
        <w:t>（——————本页为签章页——————）</w:t>
      </w:r>
    </w:p>
    <w:p w14:paraId="31AD4DF3">
      <w:pPr>
        <w:spacing w:line="360" w:lineRule="auto"/>
        <w:ind w:firstLine="480" w:firstLineChars="200"/>
        <w:rPr>
          <w:rFonts w:hint="eastAsia" w:ascii="宋体" w:hAnsi="宋体" w:cs="宋体"/>
          <w:sz w:val="24"/>
          <w:szCs w:val="24"/>
        </w:rPr>
      </w:pPr>
    </w:p>
    <w:p w14:paraId="2778EE0C">
      <w:pPr>
        <w:spacing w:line="324" w:lineRule="auto"/>
        <w:rPr>
          <w:rFonts w:ascii="宋体" w:hAnsi="宋体"/>
          <w:color w:val="auto"/>
          <w:szCs w:val="21"/>
          <w:highlight w:val="none"/>
        </w:rPr>
      </w:pPr>
    </w:p>
    <w:tbl>
      <w:tblPr>
        <w:tblStyle w:val="11"/>
        <w:tblW w:w="4999" w:type="pct"/>
        <w:tblInd w:w="0" w:type="dxa"/>
        <w:tblLayout w:type="autofit"/>
        <w:tblCellMar>
          <w:top w:w="0" w:type="dxa"/>
          <w:left w:w="108" w:type="dxa"/>
          <w:bottom w:w="0" w:type="dxa"/>
          <w:right w:w="108" w:type="dxa"/>
        </w:tblCellMar>
      </w:tblPr>
      <w:tblGrid>
        <w:gridCol w:w="4798"/>
        <w:gridCol w:w="4487"/>
      </w:tblGrid>
      <w:tr w14:paraId="7A597382">
        <w:tblPrEx>
          <w:tblCellMar>
            <w:top w:w="0" w:type="dxa"/>
            <w:left w:w="108" w:type="dxa"/>
            <w:bottom w:w="0" w:type="dxa"/>
            <w:right w:w="108" w:type="dxa"/>
          </w:tblCellMar>
        </w:tblPrEx>
        <w:trPr>
          <w:trHeight w:val="2244" w:hRule="atLeast"/>
        </w:trPr>
        <w:tc>
          <w:tcPr>
            <w:tcW w:w="2583" w:type="pct"/>
            <w:tcBorders>
              <w:top w:val="nil"/>
              <w:left w:val="nil"/>
              <w:bottom w:val="nil"/>
              <w:right w:val="dotDotDash" w:color="auto" w:sz="4" w:space="0"/>
            </w:tcBorders>
            <w:noWrap w:val="0"/>
            <w:vAlign w:val="top"/>
          </w:tcPr>
          <w:p w14:paraId="36EC7AB9">
            <w:pPr>
              <w:pStyle w:val="22"/>
              <w:spacing w:line="480" w:lineRule="auto"/>
              <w:rPr>
                <w:rFonts w:ascii="宋体" w:hAnsi="宋体"/>
                <w:b/>
                <w:color w:val="auto"/>
                <w:sz w:val="21"/>
                <w:szCs w:val="21"/>
                <w:highlight w:val="none"/>
              </w:rPr>
            </w:pPr>
            <w:r>
              <w:rPr>
                <w:rFonts w:hint="eastAsia" w:ascii="宋体" w:hAnsi="宋体"/>
                <w:b/>
                <w:color w:val="auto"/>
                <w:sz w:val="21"/>
                <w:szCs w:val="21"/>
                <w:highlight w:val="none"/>
              </w:rPr>
              <w:t>甲方（盖章）：</w:t>
            </w:r>
          </w:p>
          <w:p w14:paraId="727552CC">
            <w:pPr>
              <w:pStyle w:val="22"/>
              <w:spacing w:line="360" w:lineRule="auto"/>
              <w:rPr>
                <w:rFonts w:ascii="宋体" w:hAnsi="宋体"/>
                <w:color w:val="auto"/>
                <w:sz w:val="21"/>
                <w:szCs w:val="21"/>
                <w:highlight w:val="none"/>
                <w:u w:val="dotted"/>
              </w:rPr>
            </w:pPr>
            <w:r>
              <w:rPr>
                <w:rFonts w:hint="eastAsia" w:ascii="宋体" w:hAnsi="宋体"/>
                <w:color w:val="auto"/>
                <w:sz w:val="21"/>
                <w:szCs w:val="21"/>
                <w:highlight w:val="none"/>
              </w:rPr>
              <w:t>代表：</w:t>
            </w:r>
            <w:r>
              <w:rPr>
                <w:rFonts w:ascii="宋体" w:hAnsi="宋体"/>
                <w:color w:val="auto"/>
                <w:sz w:val="21"/>
                <w:szCs w:val="21"/>
                <w:highlight w:val="none"/>
                <w:u w:val="dotted"/>
              </w:rPr>
              <w:t xml:space="preserve">                              </w:t>
            </w:r>
            <w:r>
              <w:rPr>
                <w:rFonts w:ascii="宋体" w:hAnsi="宋体"/>
                <w:color w:val="auto"/>
                <w:sz w:val="21"/>
                <w:szCs w:val="21"/>
                <w:highlight w:val="none"/>
              </w:rPr>
              <w:t xml:space="preserve"> </w:t>
            </w:r>
          </w:p>
          <w:p w14:paraId="5732275E">
            <w:pPr>
              <w:pStyle w:val="22"/>
              <w:rPr>
                <w:rFonts w:ascii="宋体" w:hAnsi="宋体"/>
                <w:color w:val="auto"/>
                <w:sz w:val="21"/>
                <w:szCs w:val="21"/>
                <w:highlight w:val="none"/>
              </w:rPr>
            </w:pPr>
            <w:r>
              <w:rPr>
                <w:rFonts w:hint="eastAsia" w:ascii="宋体" w:hAnsi="宋体"/>
                <w:color w:val="auto"/>
                <w:sz w:val="21"/>
                <w:szCs w:val="21"/>
                <w:highlight w:val="none"/>
              </w:rPr>
              <w:t>地址：</w:t>
            </w:r>
          </w:p>
          <w:p w14:paraId="2D56C22F">
            <w:pPr>
              <w:pStyle w:val="22"/>
              <w:rPr>
                <w:rFonts w:ascii="宋体" w:hAnsi="宋体"/>
                <w:color w:val="auto"/>
                <w:sz w:val="21"/>
                <w:szCs w:val="21"/>
                <w:highlight w:val="none"/>
              </w:rPr>
            </w:pPr>
            <w:r>
              <w:rPr>
                <w:rFonts w:hint="eastAsia" w:ascii="宋体" w:hAnsi="宋体"/>
                <w:color w:val="auto"/>
                <w:sz w:val="21"/>
                <w:szCs w:val="21"/>
                <w:highlight w:val="none"/>
              </w:rPr>
              <w:t>电话：</w:t>
            </w:r>
          </w:p>
          <w:p w14:paraId="2E75FED3">
            <w:pPr>
              <w:pStyle w:val="22"/>
              <w:rPr>
                <w:rFonts w:ascii="宋体" w:hAnsi="宋体"/>
                <w:color w:val="auto"/>
                <w:sz w:val="21"/>
                <w:szCs w:val="21"/>
                <w:highlight w:val="none"/>
              </w:rPr>
            </w:pPr>
            <w:r>
              <w:rPr>
                <w:rFonts w:hint="eastAsia" w:ascii="宋体" w:hAnsi="宋体"/>
                <w:color w:val="auto"/>
                <w:sz w:val="21"/>
                <w:szCs w:val="21"/>
                <w:highlight w:val="none"/>
              </w:rPr>
              <w:t>传真：</w:t>
            </w:r>
          </w:p>
          <w:p w14:paraId="46460D82">
            <w:pPr>
              <w:pStyle w:val="22"/>
              <w:spacing w:line="360" w:lineRule="auto"/>
              <w:rPr>
                <w:rFonts w:ascii="宋体" w:hAnsi="宋体"/>
                <w:b/>
                <w:color w:val="auto"/>
                <w:sz w:val="21"/>
                <w:szCs w:val="21"/>
                <w:highlight w:val="none"/>
              </w:rPr>
            </w:pPr>
            <w:r>
              <w:rPr>
                <w:rFonts w:hint="eastAsia" w:ascii="宋体" w:hAnsi="宋体"/>
                <w:color w:val="auto"/>
                <w:sz w:val="21"/>
                <w:szCs w:val="21"/>
                <w:highlight w:val="none"/>
              </w:rPr>
              <w:t>日期：</w:t>
            </w:r>
            <w:r>
              <w:rPr>
                <w:rFonts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hint="eastAsia" w:ascii="宋体" w:hAnsi="宋体"/>
                <w:color w:val="auto"/>
                <w:sz w:val="21"/>
                <w:szCs w:val="21"/>
                <w:highlight w:val="none"/>
              </w:rPr>
              <w:t>日</w:t>
            </w:r>
          </w:p>
        </w:tc>
        <w:tc>
          <w:tcPr>
            <w:tcW w:w="2416" w:type="pct"/>
            <w:tcBorders>
              <w:top w:val="nil"/>
              <w:left w:val="dotDotDash" w:color="auto" w:sz="4" w:space="0"/>
              <w:bottom w:val="nil"/>
              <w:right w:val="nil"/>
            </w:tcBorders>
            <w:noWrap w:val="0"/>
            <w:vAlign w:val="top"/>
          </w:tcPr>
          <w:p w14:paraId="72A97729">
            <w:pPr>
              <w:pStyle w:val="22"/>
              <w:spacing w:line="480" w:lineRule="auto"/>
              <w:rPr>
                <w:rFonts w:ascii="宋体" w:hAnsi="宋体"/>
                <w:b/>
                <w:color w:val="auto"/>
                <w:sz w:val="21"/>
                <w:szCs w:val="21"/>
                <w:highlight w:val="none"/>
              </w:rPr>
            </w:pPr>
            <w:r>
              <w:rPr>
                <w:rFonts w:hint="eastAsia" w:ascii="宋体" w:hAnsi="宋体"/>
                <w:b/>
                <w:color w:val="auto"/>
                <w:sz w:val="21"/>
                <w:szCs w:val="21"/>
                <w:highlight w:val="none"/>
              </w:rPr>
              <w:t>乙方（盖章）：</w:t>
            </w:r>
          </w:p>
          <w:p w14:paraId="0D71E1A7">
            <w:pPr>
              <w:pStyle w:val="22"/>
              <w:spacing w:line="360" w:lineRule="auto"/>
              <w:rPr>
                <w:rFonts w:ascii="宋体" w:hAnsi="宋体"/>
                <w:color w:val="auto"/>
                <w:sz w:val="21"/>
                <w:szCs w:val="21"/>
                <w:highlight w:val="none"/>
                <w:u w:val="dotted"/>
              </w:rPr>
            </w:pPr>
            <w:r>
              <w:rPr>
                <w:rFonts w:hint="eastAsia" w:ascii="宋体" w:hAnsi="宋体"/>
                <w:color w:val="auto"/>
                <w:sz w:val="21"/>
                <w:szCs w:val="21"/>
                <w:highlight w:val="none"/>
              </w:rPr>
              <w:t>代表：</w:t>
            </w:r>
            <w:r>
              <w:rPr>
                <w:rFonts w:ascii="宋体" w:hAnsi="宋体"/>
                <w:color w:val="auto"/>
                <w:sz w:val="21"/>
                <w:szCs w:val="21"/>
                <w:highlight w:val="none"/>
                <w:u w:val="dotted"/>
              </w:rPr>
              <w:t xml:space="preserve">  </w:t>
            </w:r>
            <w:r>
              <w:rPr>
                <w:rFonts w:hint="eastAsia" w:ascii="宋体" w:hAnsi="宋体"/>
                <w:color w:val="auto"/>
                <w:sz w:val="21"/>
                <w:szCs w:val="21"/>
                <w:highlight w:val="none"/>
                <w:u w:val="dotted"/>
                <w:lang w:val="en-US" w:eastAsia="zh-CN"/>
              </w:rPr>
              <w:t xml:space="preserve">                </w:t>
            </w:r>
            <w:r>
              <w:rPr>
                <w:rFonts w:ascii="宋体" w:hAnsi="宋体"/>
                <w:color w:val="auto"/>
                <w:sz w:val="21"/>
                <w:szCs w:val="21"/>
                <w:highlight w:val="none"/>
                <w:u w:val="dotted"/>
              </w:rPr>
              <w:t xml:space="preserve">                   </w:t>
            </w:r>
          </w:p>
          <w:p w14:paraId="1F35CCF2">
            <w:pPr>
              <w:pStyle w:val="22"/>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地址：</w:t>
            </w:r>
            <w:r>
              <w:rPr>
                <w:rFonts w:hint="eastAsia" w:ascii="宋体" w:hAnsi="宋体"/>
                <w:color w:val="auto"/>
                <w:sz w:val="21"/>
                <w:szCs w:val="21"/>
                <w:highlight w:val="none"/>
                <w:lang w:val="en-US" w:eastAsia="zh-CN"/>
              </w:rPr>
              <w:t xml:space="preserve">                          </w:t>
            </w:r>
          </w:p>
          <w:p w14:paraId="4C49801D">
            <w:pPr>
              <w:pStyle w:val="22"/>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电话：</w:t>
            </w:r>
          </w:p>
          <w:p w14:paraId="2978EE06">
            <w:pPr>
              <w:pStyle w:val="22"/>
              <w:rPr>
                <w:rFonts w:ascii="宋体" w:hAnsi="宋体"/>
                <w:color w:val="auto"/>
                <w:sz w:val="21"/>
                <w:szCs w:val="21"/>
                <w:highlight w:val="none"/>
              </w:rPr>
            </w:pPr>
            <w:r>
              <w:rPr>
                <w:rFonts w:hint="eastAsia" w:ascii="宋体" w:hAnsi="宋体"/>
                <w:color w:val="auto"/>
                <w:sz w:val="21"/>
                <w:szCs w:val="21"/>
                <w:highlight w:val="none"/>
              </w:rPr>
              <w:t>传真：</w:t>
            </w:r>
          </w:p>
          <w:p w14:paraId="6B0AA271">
            <w:pPr>
              <w:pStyle w:val="22"/>
              <w:spacing w:line="360" w:lineRule="auto"/>
              <w:rPr>
                <w:rFonts w:ascii="宋体" w:hAnsi="宋体"/>
                <w:b/>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hint="eastAsia" w:ascii="宋体" w:hAnsi="宋体"/>
                <w:color w:val="auto"/>
                <w:sz w:val="21"/>
                <w:szCs w:val="21"/>
                <w:highlight w:val="none"/>
              </w:rPr>
              <w:t>日</w:t>
            </w:r>
          </w:p>
        </w:tc>
      </w:tr>
    </w:tbl>
    <w:p w14:paraId="6B0C52F4">
      <w:pPr>
        <w:rPr>
          <w:color w:val="auto"/>
        </w:rPr>
      </w:pPr>
    </w:p>
    <w:p w14:paraId="6A88244C">
      <w:pPr>
        <w:spacing w:line="324" w:lineRule="auto"/>
        <w:rPr>
          <w:rFonts w:ascii="宋体" w:hAnsi="宋体"/>
          <w:szCs w:val="21"/>
        </w:rPr>
      </w:pPr>
      <w:r>
        <w:rPr>
          <w:rFonts w:hint="eastAsia" w:ascii="宋体" w:hAnsi="宋体"/>
          <w:b/>
          <w:bCs/>
          <w:color w:val="auto"/>
          <w:szCs w:val="21"/>
          <w:highlight w:val="none"/>
        </w:rPr>
        <w:br w:type="page"/>
      </w:r>
    </w:p>
    <w:p w14:paraId="1CF8C525">
      <w:pPr>
        <w:rPr>
          <w:rFonts w:hint="eastAsia" w:ascii="黑体" w:hAnsi="黑体" w:eastAsia="黑体"/>
          <w:color w:val="000000" w:themeColor="text1"/>
          <w:sz w:val="24"/>
          <w:szCs w:val="24"/>
          <w:lang w:val="en-US" w:eastAsia="zh-CN"/>
          <w14:textFill>
            <w14:solidFill>
              <w14:schemeClr w14:val="tx1"/>
            </w14:solidFill>
          </w14:textFill>
        </w:rPr>
      </w:pPr>
      <w:bookmarkStart w:id="3" w:name="_Toc13055140"/>
      <w:r>
        <w:rPr>
          <w:rFonts w:hint="eastAsia" w:ascii="黑体" w:hAnsi="黑体" w:eastAsia="黑体"/>
          <w:color w:val="000000" w:themeColor="text1"/>
          <w:sz w:val="24"/>
          <w:szCs w:val="24"/>
          <w14:textFill>
            <w14:solidFill>
              <w14:schemeClr w14:val="tx1"/>
            </w14:solidFill>
          </w14:textFill>
        </w:rPr>
        <w:t>附件</w:t>
      </w:r>
      <w:r>
        <w:rPr>
          <w:rFonts w:hint="eastAsia" w:ascii="黑体" w:hAnsi="黑体" w:eastAsia="黑体"/>
          <w:color w:val="000000" w:themeColor="text1"/>
          <w:sz w:val="24"/>
          <w:szCs w:val="24"/>
          <w:lang w:val="en-US" w:eastAsia="zh-CN"/>
          <w14:textFill>
            <w14:solidFill>
              <w14:schemeClr w14:val="tx1"/>
            </w14:solidFill>
          </w14:textFill>
        </w:rPr>
        <w:t>1</w:t>
      </w:r>
    </w:p>
    <w:p w14:paraId="066B91BF">
      <w:pPr>
        <w:jc w:val="center"/>
        <w:rPr>
          <w:rFonts w:hint="eastAsia" w:ascii="方正小标宋_GBK" w:hAnsi="方正小标宋_GBK" w:eastAsia="方正小标宋_GBK" w:cs="方正小标宋_GBK"/>
          <w:b w:val="0"/>
          <w:bCs/>
          <w:color w:val="000000" w:themeColor="text1"/>
          <w:sz w:val="28"/>
          <w:szCs w:val="28"/>
          <w14:textFill>
            <w14:solidFill>
              <w14:schemeClr w14:val="tx1"/>
            </w14:solidFill>
          </w14:textFill>
        </w:rPr>
      </w:pPr>
      <w:r>
        <w:rPr>
          <w:rFonts w:hint="eastAsia" w:ascii="方正小标宋_GBK" w:hAnsi="方正小标宋_GBK" w:eastAsia="方正小标宋_GBK" w:cs="方正小标宋_GBK"/>
          <w:b w:val="0"/>
          <w:bCs/>
          <w:color w:val="000000" w:themeColor="text1"/>
          <w:sz w:val="28"/>
          <w:szCs w:val="28"/>
          <w14:textFill>
            <w14:solidFill>
              <w14:schemeClr w14:val="tx1"/>
            </w14:solidFill>
          </w14:textFill>
        </w:rPr>
        <w:t>保密协议书</w:t>
      </w:r>
      <w:bookmarkEnd w:id="3"/>
    </w:p>
    <w:p w14:paraId="68E78F20">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甲方:</w:t>
      </w: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 xml:space="preserve">  广东省博物馆（广州鲁迅纪念馆）</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 xml:space="preserve">   </w:t>
      </w:r>
    </w:p>
    <w:p w14:paraId="0EA898A8">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地址:</w:t>
      </w: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 xml:space="preserve">  广州市天河区珠江东路2号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 xml:space="preserve"> </w:t>
      </w:r>
    </w:p>
    <w:p w14:paraId="73B822FF">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 xml:space="preserve">乙方:      </w:t>
      </w:r>
    </w:p>
    <w:p w14:paraId="576AD7B6">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 xml:space="preserve">地址:  </w:t>
      </w:r>
    </w:p>
    <w:p w14:paraId="27E8076A">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pPr>
    </w:p>
    <w:p w14:paraId="7A1ECC1B">
      <w:pPr>
        <w:pStyle w:val="6"/>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遵照《中华人民共和国民法典》《中华人民共和国保守国家秘密法》及相关法律规定,经双方经协商一致,本着友好公平公正的原则,甲乙双方自愿签订本协议,并共同遵守本协议所列条款。</w:t>
      </w:r>
    </w:p>
    <w:p w14:paraId="2D6AAAE0">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一、保密的范围与内容</w:t>
      </w:r>
    </w:p>
    <w:p w14:paraId="7D49F63E">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1、保密范围:</w:t>
      </w:r>
    </w:p>
    <w:p w14:paraId="324BE103">
      <w:pPr>
        <w:pStyle w:val="6"/>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乙方从甲方所取得的包括但不限于甲方内部运营情况、业务管理规范、业务操作流程、财务信息、人员信息、薪酬信息、工程设计及建设等一切涉及甲方商业及安全机密的信息。</w:t>
      </w:r>
    </w:p>
    <w:p w14:paraId="0FF0AC03">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2、保密主要内容:</w:t>
      </w:r>
    </w:p>
    <w:p w14:paraId="2C29532A">
      <w:pPr>
        <w:pStyle w:val="6"/>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属于甲方所有和合法持有的技术资料和信息包括但不限于属于甲方或所有由甲方提供给乙方的文物信息、文物影像数据、观众相关信息、业务资料、技术方案、工程设计、建筑物资料、技术指标、计算机软件、数据库、研究开发记录、技术报告、检测报告、实验数据、试验结果、操作手册、技术文档、采购资料、定价政策、财务资料、相关业务往来的函电、传真、电子邮件、微信聊天记录等。</w:t>
      </w:r>
    </w:p>
    <w:p w14:paraId="6217C8C2">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3、本协议所适用的乙方群体:</w:t>
      </w:r>
    </w:p>
    <w:p w14:paraId="5D29699C">
      <w:pPr>
        <w:pStyle w:val="6"/>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因业务上可能知悉、使用甲方技术资料和信息的乙方人员(如与甲方有业务联系的乙方技术人员、业务人员以及乙方相关的行政管理人员和财务人员)。如因乙方上述人员泄密的,视为乙方违反本协议约定泄密。</w:t>
      </w:r>
    </w:p>
    <w:p w14:paraId="5D232C27">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二、乙方的保密义务</w:t>
      </w:r>
    </w:p>
    <w:p w14:paraId="74D2A8E2">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1、乙方有保守属于甲方所有和合法持有的技术资料和信息或所有由甲方提供给乙方的技术资料和商业信息秘密的义务,乙方不得将专属于甲方或所有由甲方提供给乙方的文物信息、文物影像数据、观众相关信息、业务资料、技术方案、工程设计、建筑物资料、技术指标、计算机软件、数据库、研究开发记录、技术报告、检测报告、实验数据、试验结果、操作手册、技术文档、采购资料、定价政策、财务资料、相关业务往来的函电、传真、电子邮件、微信聊天记录等泄露、交付、出卖、出借、出租、转让给乙方自身单位内其它无关人员或者任何其他个人、企事业单位。未经甲方书面授权,严禁乙方通过口头或任何其他载体形式对外发表、出版、公布专属于甲方所有和合法持有的技术资料、信息或所有由甲方提供给乙方的技术资料、信息。</w:t>
      </w:r>
    </w:p>
    <w:p w14:paraId="21FCC964">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2、乙方不得与甲方内部人员勾结合谋、引诱利用甲方内部人员利用属于甲方所有和合法持有的技术资料、信息或所有由甲方提供给乙方的技术资料、信息谋取私利从事损害甲方利益行为。</w:t>
      </w:r>
    </w:p>
    <w:p w14:paraId="356C7104">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3、所有由甲方提供给乙方的技术资料和信息乙方应采取执行有效的安全保密措施,乙方采取安全保密措施所需人力、物力、财力由乙方自行承担。</w:t>
      </w:r>
    </w:p>
    <w:p w14:paraId="7472596C">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4、乙方无权擅自修改或移除本协议中的任何条款或权利注释。</w:t>
      </w:r>
    </w:p>
    <w:p w14:paraId="1DE3BCFF">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三、泄密责任</w:t>
      </w:r>
    </w:p>
    <w:p w14:paraId="5BF5BEAB">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甲、乙双方约定:</w:t>
      </w:r>
    </w:p>
    <w:p w14:paraId="7A2F8F49">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1、乙方违反本协议约定的保密义务的,应按照涉事合同款的10%向甲方支付违约金。如本协议约定的违约金不足以弥补乙方违反保密义务造成甲方损失的,乙方还应赔偿超过违约金部分的损失。甲方遭受的损失包括但不限于甲方的直接损失、可得利益等间接损失,包括因乙方违反本协议而给甲方及甲方关联公司所带来的一切直接和间接经济损失、利润损失、社会效益评估损失,以及甲方因处理与第三方纠纷而实际支出的评估费、调查费用、诉讼费用及律师费。对于甲方的实际损失难以计算的,损失额可以按乙方因违约行为所获得的全部利润计算。</w:t>
      </w:r>
      <w:r>
        <w:rPr>
          <w:rFonts w:hint="eastAsia" w:asciiTheme="minorEastAsia" w:hAnsiTheme="minorEastAsia" w:eastAsiaTheme="minorEastAsia" w:cstheme="minorEastAsia"/>
          <w:b w:val="0"/>
          <w:bCs w:val="0"/>
          <w:color w:val="000000" w:themeColor="text1"/>
          <w:sz w:val="21"/>
          <w:szCs w:val="21"/>
          <w:u w:val="none"/>
          <w:lang w:val="en-US" w:eastAsia="zh-CN"/>
          <w14:textFill>
            <w14:solidFill>
              <w14:schemeClr w14:val="tx1"/>
            </w14:solidFill>
          </w14:textFill>
        </w:rPr>
        <w:tab/>
      </w:r>
      <w:r>
        <w:rPr>
          <w:rFonts w:hint="eastAsia" w:asciiTheme="minorEastAsia" w:hAnsiTheme="minorEastAsia" w:eastAsiaTheme="minorEastAsia" w:cstheme="minorEastAsia"/>
          <w:b w:val="0"/>
          <w:bCs w:val="0"/>
          <w:color w:val="000000" w:themeColor="text1"/>
          <w:sz w:val="21"/>
          <w:szCs w:val="21"/>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2、乙方违反本协议约定的保密义务的,乙方除应按本条第1款承担违约金及赔偿损失责任外,还应承担甲方为向乙方索赔所支出的评估费、调查费用、诉讼费用及律师费。</w:t>
      </w:r>
    </w:p>
    <w:p w14:paraId="223431A2">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3、因乙方的违约行为侵犯了甲方的技术秘密权利的,甲方可以选择根据本协议追究乙方责任,或者根据国家有关法律、法规通过司法的方式要求乙方承担侵权法律责任。</w:t>
      </w:r>
    </w:p>
    <w:p w14:paraId="4E59E85A">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四、其他事项</w:t>
      </w:r>
    </w:p>
    <w:p w14:paraId="4F888864">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1、本协议未尽之保密事宜,一律依国家相关法律为准。双方对本协议有争议时,可向甲方所在地人民法院提起诉讼。</w:t>
      </w:r>
    </w:p>
    <w:p w14:paraId="6AA02EC6">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2、本协议的修改必须采用书面形式,并由双方签字盖章确认生效。</w:t>
      </w:r>
    </w:p>
    <w:p w14:paraId="0FE1D7E0">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五、生效日期</w:t>
      </w:r>
    </w:p>
    <w:p w14:paraId="4B96CF50">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1、本协议自双方签字盖章之日起生效,由双方共同遵守并严格履行协议条款。</w:t>
      </w:r>
    </w:p>
    <w:p w14:paraId="0270764A">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t>2、本协议正本一式二份,甲乙双方各执一份。</w:t>
      </w:r>
    </w:p>
    <w:p w14:paraId="7D71EB5A">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000000" w:themeColor="text1"/>
          <w:sz w:val="21"/>
          <w:szCs w:val="21"/>
          <w:u w:val="none"/>
          <w:lang w:eastAsia="zh-CN"/>
          <w14:textFill>
            <w14:solidFill>
              <w14:schemeClr w14:val="tx1"/>
            </w14:solidFill>
          </w14:textFill>
        </w:rPr>
      </w:pPr>
    </w:p>
    <w:tbl>
      <w:tblPr>
        <w:tblStyle w:val="12"/>
        <w:tblW w:w="87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1"/>
        <w:gridCol w:w="4233"/>
      </w:tblGrid>
      <w:tr w14:paraId="6EA7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9" w:hRule="atLeast"/>
        </w:trPr>
        <w:tc>
          <w:tcPr>
            <w:tcW w:w="4511" w:type="dxa"/>
            <w:tcBorders>
              <w:tl2br w:val="nil"/>
              <w:tr2bl w:val="nil"/>
            </w:tcBorders>
            <w:vAlign w:val="top"/>
          </w:tcPr>
          <w:p w14:paraId="18A10A43">
            <w:pPr>
              <w:pStyle w:val="6"/>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14:paraId="43681505">
            <w:pPr>
              <w:pStyle w:val="6"/>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广东省博物馆（广州鲁迅纪念馆）</w:t>
            </w:r>
          </w:p>
        </w:tc>
        <w:tc>
          <w:tcPr>
            <w:tcW w:w="4233" w:type="dxa"/>
            <w:tcBorders>
              <w:tl2br w:val="nil"/>
              <w:tr2bl w:val="nil"/>
            </w:tcBorders>
            <w:vAlign w:val="top"/>
          </w:tcPr>
          <w:p w14:paraId="07F41750">
            <w:pPr>
              <w:pStyle w:val="6"/>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 xml:space="preserve">）  </w:t>
            </w:r>
          </w:p>
          <w:p w14:paraId="695FC2EC">
            <w:pPr>
              <w:pStyle w:val="6"/>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r>
      <w:tr w14:paraId="2AB2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1" w:type="dxa"/>
            <w:tcBorders>
              <w:tl2br w:val="nil"/>
              <w:tr2bl w:val="nil"/>
            </w:tcBorders>
            <w:vAlign w:val="top"/>
          </w:tcPr>
          <w:p w14:paraId="74058EF7">
            <w:pPr>
              <w:pStyle w:val="6"/>
              <w:rPr>
                <w:rFonts w:hint="eastAsia" w:asciiTheme="minorEastAsia" w:hAnsiTheme="minorEastAsia" w:eastAsiaTheme="minorEastAsia" w:cstheme="minorEastAsia"/>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 xml:space="preserve">签署日期:  </w:t>
            </w:r>
          </w:p>
        </w:tc>
        <w:tc>
          <w:tcPr>
            <w:tcW w:w="4233" w:type="dxa"/>
            <w:tcBorders>
              <w:tl2br w:val="nil"/>
              <w:tr2bl w:val="nil"/>
            </w:tcBorders>
            <w:vAlign w:val="top"/>
          </w:tcPr>
          <w:p w14:paraId="1E08AD07">
            <w:pPr>
              <w:pStyle w:val="6"/>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签署日期：</w:t>
            </w:r>
          </w:p>
        </w:tc>
      </w:tr>
    </w:tbl>
    <w:p w14:paraId="50C49510">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E808935">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10F92542">
      <w:pPr>
        <w:rPr>
          <w:rFonts w:hint="eastAsia" w:ascii="黑体" w:hAnsi="黑体" w:eastAsia="黑体" w:cs="黑体"/>
          <w:b/>
          <w:bCs/>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附件</w:t>
      </w:r>
      <w:r>
        <w:rPr>
          <w:rFonts w:hint="eastAsia" w:ascii="黑体" w:hAnsi="黑体" w:eastAsia="黑体" w:cs="黑体"/>
          <w:color w:val="000000" w:themeColor="text1"/>
          <w:sz w:val="24"/>
          <w:szCs w:val="24"/>
          <w:lang w:val="en-US" w:eastAsia="zh-CN"/>
          <w14:textFill>
            <w14:solidFill>
              <w14:schemeClr w14:val="tx1"/>
            </w14:solidFill>
          </w14:textFill>
        </w:rPr>
        <w:t>2</w:t>
      </w:r>
    </w:p>
    <w:p w14:paraId="3ABFBE00">
      <w:pPr>
        <w:keepNext w:val="0"/>
        <w:keepLines w:val="0"/>
        <w:pageBreakBefore w:val="0"/>
        <w:widowControl w:val="0"/>
        <w:kinsoku/>
        <w:wordWrap/>
        <w:overflowPunct/>
        <w:topLinePunct w:val="0"/>
        <w:autoSpaceDE w:val="0"/>
        <w:autoSpaceDN w:val="0"/>
        <w:bidi w:val="0"/>
        <w:adjustRightInd/>
        <w:snapToGrid/>
        <w:spacing w:after="0" w:afterLines="100" w:line="240" w:lineRule="auto"/>
        <w:ind w:left="0" w:right="0" w:firstLine="0"/>
        <w:jc w:val="center"/>
        <w:textAlignment w:val="auto"/>
        <w:rPr>
          <w:rFonts w:hint="eastAsia" w:ascii="方正小标宋_GBK" w:hAnsi="方正小标宋_GBK" w:eastAsia="方正小标宋_GBK" w:cs="方正小标宋_GBK"/>
          <w:b/>
          <w:bCs/>
          <w:color w:val="000000" w:themeColor="text1"/>
          <w:sz w:val="28"/>
          <w:szCs w:val="28"/>
          <w14:textFill>
            <w14:solidFill>
              <w14:schemeClr w14:val="tx1"/>
            </w14:solidFill>
          </w14:textFill>
        </w:rPr>
      </w:pPr>
      <w:r>
        <w:rPr>
          <w:rFonts w:hint="eastAsia" w:ascii="方正小标宋_GBK" w:hAnsi="方正小标宋_GBK" w:eastAsia="方正小标宋_GBK" w:cs="方正小标宋_GBK"/>
          <w:b/>
          <w:bCs/>
          <w:color w:val="000000" w:themeColor="text1"/>
          <w:sz w:val="28"/>
          <w:szCs w:val="28"/>
          <w14:textFill>
            <w14:solidFill>
              <w14:schemeClr w14:val="tx1"/>
            </w14:solidFill>
          </w14:textFill>
        </w:rPr>
        <w:t>保密承诺书</w:t>
      </w:r>
    </w:p>
    <w:p w14:paraId="2608DBB8">
      <w:pPr>
        <w:keepNext w:val="0"/>
        <w:keepLines w:val="0"/>
        <w:pageBreakBefore w:val="0"/>
        <w:widowControl w:val="0"/>
        <w:kinsoku/>
        <w:wordWrap/>
        <w:overflowPunct/>
        <w:topLinePunct w:val="0"/>
        <w:autoSpaceDE w:val="0"/>
        <w:autoSpaceDN w:val="0"/>
        <w:bidi w:val="0"/>
        <w:adjustRightInd/>
        <w:snapToGrid/>
        <w:spacing w:line="560" w:lineRule="exact"/>
        <w:ind w:right="0"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本人（ 身份证：</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自</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2025</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起因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项目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在广东省博物馆（广州鲁迅纪念馆）开展项目相关工作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在工作期间所获悉属他方的保密内容应当予以保密。</w:t>
      </w:r>
      <w:r>
        <w:rPr>
          <w:rFonts w:hint="eastAsia" w:asciiTheme="minorEastAsia" w:hAnsiTheme="minorEastAsia" w:eastAsiaTheme="minorEastAsia" w:cstheme="minorEastAsia"/>
          <w:color w:val="000000" w:themeColor="text1"/>
          <w:sz w:val="21"/>
          <w:szCs w:val="21"/>
          <w14:textFill>
            <w14:solidFill>
              <w14:schemeClr w14:val="tx1"/>
            </w14:solidFill>
          </w14:textFill>
        </w:rPr>
        <w:t>我了解有关保密法律、法规和规章制度，知悉应当承担的保密义务和法律责任。本人庄重承诺:</w:t>
      </w:r>
    </w:p>
    <w:p w14:paraId="4F844C21">
      <w:pPr>
        <w:keepNext w:val="0"/>
        <w:keepLines w:val="0"/>
        <w:pageBreakBefore w:val="0"/>
        <w:widowControl w:val="0"/>
        <w:numPr>
          <w:ilvl w:val="0"/>
          <w:numId w:val="6"/>
        </w:numPr>
        <w:kinsoku/>
        <w:wordWrap/>
        <w:overflowPunct/>
        <w:topLinePunct w:val="0"/>
        <w:autoSpaceDE w:val="0"/>
        <w:autoSpaceDN w:val="0"/>
        <w:bidi w:val="0"/>
        <w:adjustRightInd/>
        <w:snapToGrid/>
        <w:spacing w:line="560" w:lineRule="exact"/>
        <w:ind w:left="0" w:right="0"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本人所提供个人信息真实有效，自愿接受和配合保密审查。</w:t>
      </w:r>
    </w:p>
    <w:p w14:paraId="5F6E6AF2">
      <w:pPr>
        <w:keepNext w:val="0"/>
        <w:keepLines w:val="0"/>
        <w:pageBreakBefore w:val="0"/>
        <w:widowControl w:val="0"/>
        <w:kinsoku/>
        <w:wordWrap/>
        <w:overflowPunct/>
        <w:topLinePunct w:val="0"/>
        <w:autoSpaceDE w:val="0"/>
        <w:autoSpaceDN w:val="0"/>
        <w:bidi w:val="0"/>
        <w:adjustRightInd/>
        <w:snapToGrid/>
        <w:spacing w:line="560" w:lineRule="exact"/>
        <w:ind w:left="0" w:right="0"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二、自觉保守属于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所有和合法持有的技术资料和信息或所有由</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1"/>
          <w:szCs w:val="21"/>
          <w14:textFill>
            <w14:solidFill>
              <w14:schemeClr w14:val="tx1"/>
            </w14:solidFill>
          </w14:textFill>
        </w:rPr>
        <w:t>提供给</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本人</w:t>
      </w:r>
      <w:r>
        <w:rPr>
          <w:rFonts w:hint="eastAsia" w:asciiTheme="minorEastAsia" w:hAnsiTheme="minorEastAsia" w:eastAsiaTheme="minorEastAsia" w:cstheme="minorEastAsia"/>
          <w:color w:val="000000" w:themeColor="text1"/>
          <w:sz w:val="21"/>
          <w:szCs w:val="21"/>
          <w14:textFill>
            <w14:solidFill>
              <w14:schemeClr w14:val="tx1"/>
            </w14:solidFill>
          </w14:textFill>
        </w:rPr>
        <w:t>的技术资料和商业信息秘密的义务,不将专属于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或所有由</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提供给</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本人</w:t>
      </w:r>
      <w:r>
        <w:rPr>
          <w:rFonts w:hint="eastAsia" w:asciiTheme="minorEastAsia" w:hAnsiTheme="minorEastAsia" w:eastAsiaTheme="minorEastAsia" w:cstheme="minorEastAsia"/>
          <w:color w:val="000000" w:themeColor="text1"/>
          <w:sz w:val="21"/>
          <w:szCs w:val="21"/>
          <w14:textFill>
            <w14:solidFill>
              <w14:schemeClr w14:val="tx1"/>
            </w14:solidFill>
          </w14:textFill>
        </w:rPr>
        <w:t>的文物信息、文物影像数据、观众相关信息、业务资料、技术方案、工程设计、建筑物资料、技术指标、计算机软件、数据库、研究开发记录、技术报告、检测报告、实验数据、试验结果、操作手册、技术文档、采购资料、定价政策、财务资料、相关业务往来的函电、传真、电子邮件、微信聊天记录等泄露、交付、出卖、出借、出租、转让给其它无关人员或者任何其他个人、企事业单位。未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书面授权,</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不</w:t>
      </w:r>
      <w:r>
        <w:rPr>
          <w:rFonts w:hint="eastAsia" w:asciiTheme="minorEastAsia" w:hAnsiTheme="minorEastAsia" w:eastAsiaTheme="minorEastAsia" w:cstheme="minorEastAsia"/>
          <w:color w:val="000000" w:themeColor="text1"/>
          <w:sz w:val="21"/>
          <w:szCs w:val="21"/>
          <w14:textFill>
            <w14:solidFill>
              <w14:schemeClr w14:val="tx1"/>
            </w14:solidFill>
          </w14:textFill>
        </w:rPr>
        <w:t>通过口头或任何其他载体形式对外发表、出版、公布专属于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所有和合法持有的技术资料、信息或所有由</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提供给</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本人</w:t>
      </w:r>
      <w:r>
        <w:rPr>
          <w:rFonts w:hint="eastAsia" w:asciiTheme="minorEastAsia" w:hAnsiTheme="minorEastAsia" w:eastAsiaTheme="minorEastAsia" w:cstheme="minorEastAsia"/>
          <w:color w:val="000000" w:themeColor="text1"/>
          <w:sz w:val="21"/>
          <w:szCs w:val="21"/>
          <w14:textFill>
            <w14:solidFill>
              <w14:schemeClr w14:val="tx1"/>
            </w14:solidFill>
          </w14:textFill>
        </w:rPr>
        <w:t>的技术资料、信息。</w:t>
      </w:r>
    </w:p>
    <w:p w14:paraId="1D73B144">
      <w:pPr>
        <w:keepNext w:val="0"/>
        <w:keepLines w:val="0"/>
        <w:pageBreakBefore w:val="0"/>
        <w:widowControl w:val="0"/>
        <w:kinsoku/>
        <w:wordWrap/>
        <w:overflowPunct/>
        <w:topLinePunct w:val="0"/>
        <w:autoSpaceDE w:val="0"/>
        <w:autoSpaceDN w:val="0"/>
        <w:bidi w:val="0"/>
        <w:adjustRightInd/>
        <w:snapToGrid/>
        <w:spacing w:line="560" w:lineRule="exact"/>
        <w:ind w:left="0" w:right="0"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三、不与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内部人员勾结合谋、引诱利用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内部人员利用属于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所有和合法持有的技术资料、信息或所有由</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提供给</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本人</w:t>
      </w:r>
      <w:r>
        <w:rPr>
          <w:rFonts w:hint="eastAsia" w:asciiTheme="minorEastAsia" w:hAnsiTheme="minorEastAsia" w:eastAsiaTheme="minorEastAsia" w:cstheme="minorEastAsia"/>
          <w:color w:val="000000" w:themeColor="text1"/>
          <w:sz w:val="21"/>
          <w:szCs w:val="21"/>
          <w14:textFill>
            <w14:solidFill>
              <w14:schemeClr w14:val="tx1"/>
            </w14:solidFill>
          </w14:textFill>
        </w:rPr>
        <w:t>的技术资料、信息谋取私利从事损害</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14:textFill>
            <w14:solidFill>
              <w14:schemeClr w14:val="tx1"/>
            </w14:solidFill>
          </w14:textFill>
        </w:rPr>
        <w:t>利益行为。</w:t>
      </w:r>
    </w:p>
    <w:p w14:paraId="75334CAA">
      <w:pPr>
        <w:keepNext w:val="0"/>
        <w:keepLines w:val="0"/>
        <w:pageBreakBefore w:val="0"/>
        <w:widowControl w:val="0"/>
        <w:kinsoku/>
        <w:wordWrap/>
        <w:overflowPunct/>
        <w:topLinePunct w:val="0"/>
        <w:autoSpaceDE w:val="0"/>
        <w:autoSpaceDN w:val="0"/>
        <w:bidi w:val="0"/>
        <w:adjustRightInd/>
        <w:snapToGrid/>
        <w:spacing w:line="560" w:lineRule="exact"/>
        <w:ind w:left="0" w:right="0"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所有由</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馆方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提供给</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的技术资料和信息，</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本人将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采取执行有效的安全保密措施,采取安全保密措施所需人力、物力、财力</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由本人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自行承担。</w:t>
      </w:r>
    </w:p>
    <w:p w14:paraId="700D1659">
      <w:pPr>
        <w:keepNext w:val="0"/>
        <w:keepLines w:val="0"/>
        <w:pageBreakBefore w:val="0"/>
        <w:widowControl w:val="0"/>
        <w:kinsoku/>
        <w:wordWrap/>
        <w:overflowPunct/>
        <w:topLinePunct w:val="0"/>
        <w:autoSpaceDE w:val="0"/>
        <w:autoSpaceDN w:val="0"/>
        <w:bidi w:val="0"/>
        <w:adjustRightInd/>
        <w:snapToGrid/>
        <w:spacing w:line="560" w:lineRule="exact"/>
        <w:ind w:left="0" w:right="0"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21"/>
          <w14:textFill>
            <w14:solidFill>
              <w14:schemeClr w14:val="tx1"/>
            </w14:solidFill>
          </w14:textFill>
        </w:rPr>
        <w:t>、发现失泄密隐患时，及时采取补救措施，并向单位报告。</w:t>
      </w:r>
    </w:p>
    <w:p w14:paraId="1A600EFA">
      <w:pPr>
        <w:keepNext w:val="0"/>
        <w:keepLines w:val="0"/>
        <w:pageBreakBefore w:val="0"/>
        <w:widowControl w:val="0"/>
        <w:kinsoku/>
        <w:wordWrap/>
        <w:overflowPunct/>
        <w:topLinePunct w:val="0"/>
        <w:autoSpaceDE w:val="0"/>
        <w:autoSpaceDN w:val="0"/>
        <w:bidi w:val="0"/>
        <w:adjustRightInd/>
        <w:snapToGrid/>
        <w:spacing w:line="560" w:lineRule="exact"/>
        <w:ind w:left="0" w:right="0"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1"/>
          <w:szCs w:val="21"/>
          <w14:textFill>
            <w14:solidFill>
              <w14:schemeClr w14:val="tx1"/>
            </w14:solidFill>
          </w14:textFill>
        </w:rPr>
        <w:t>、违反上述承诺，自愿承担法律后果。</w:t>
      </w:r>
    </w:p>
    <w:p w14:paraId="628C9BF7">
      <w:pPr>
        <w:keepNext w:val="0"/>
        <w:keepLines w:val="0"/>
        <w:pageBreakBefore w:val="0"/>
        <w:widowControl w:val="0"/>
        <w:kinsoku/>
        <w:wordWrap/>
        <w:overflowPunct/>
        <w:topLinePunct w:val="0"/>
        <w:autoSpaceDE w:val="0"/>
        <w:autoSpaceDN w:val="0"/>
        <w:bidi w:val="0"/>
        <w:adjustRightInd/>
        <w:snapToGrid/>
        <w:spacing w:line="560" w:lineRule="exact"/>
        <w:ind w:left="0" w:right="0" w:firstLine="420" w:firstLineChars="20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所属企业</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14:paraId="0FDA4C27">
      <w:pPr>
        <w:keepNext w:val="0"/>
        <w:keepLines w:val="0"/>
        <w:pageBreakBefore w:val="0"/>
        <w:widowControl w:val="0"/>
        <w:kinsoku/>
        <w:wordWrap/>
        <w:overflowPunct/>
        <w:topLinePunct w:val="0"/>
        <w:autoSpaceDE w:val="0"/>
        <w:autoSpaceDN w:val="0"/>
        <w:bidi w:val="0"/>
        <w:adjustRightInd/>
        <w:snapToGrid/>
        <w:spacing w:line="560" w:lineRule="exact"/>
        <w:ind w:left="0" w:right="0" w:firstLine="420" w:firstLineChars="20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承诺人签字：</w:t>
      </w:r>
    </w:p>
    <w:p w14:paraId="102A5264">
      <w:pPr>
        <w:keepNext w:val="0"/>
        <w:keepLines w:val="0"/>
        <w:pageBreakBefore w:val="0"/>
        <w:widowControl w:val="0"/>
        <w:kinsoku/>
        <w:wordWrap/>
        <w:overflowPunct/>
        <w:topLinePunct w:val="0"/>
        <w:autoSpaceDE w:val="0"/>
        <w:autoSpaceDN w:val="0"/>
        <w:bidi w:val="0"/>
        <w:adjustRightInd/>
        <w:snapToGrid/>
        <w:spacing w:line="560" w:lineRule="exact"/>
        <w:ind w:left="0" w:right="0" w:firstLine="420" w:firstLineChars="20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身份证号码：</w:t>
      </w:r>
    </w:p>
    <w:p w14:paraId="64CC66B3">
      <w:pPr>
        <w:keepNext w:val="0"/>
        <w:keepLines w:val="0"/>
        <w:pageBreakBefore w:val="0"/>
        <w:widowControl w:val="0"/>
        <w:kinsoku/>
        <w:wordWrap/>
        <w:overflowPunct/>
        <w:topLinePunct w:val="0"/>
        <w:autoSpaceDE w:val="0"/>
        <w:autoSpaceDN w:val="0"/>
        <w:bidi w:val="0"/>
        <w:adjustRightInd/>
        <w:snapToGrid/>
        <w:spacing w:line="560" w:lineRule="exact"/>
        <w:ind w:left="0" w:right="0" w:firstLine="420" w:firstLineChars="20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日</w:t>
      </w:r>
    </w:p>
    <w:sectPr>
      <w:pgSz w:w="11905" w:h="16838"/>
      <w:pgMar w:top="1361" w:right="1417" w:bottom="136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63907D-F1CF-4539-B287-D0939062F1FF}"/>
  </w:font>
  <w:font w:name="黑体">
    <w:panose1 w:val="02010609060101010101"/>
    <w:charset w:val="86"/>
    <w:family w:val="auto"/>
    <w:pitch w:val="default"/>
    <w:sig w:usb0="800002BF" w:usb1="38CF7CFA" w:usb2="00000016" w:usb3="00000000" w:csb0="00040001" w:csb1="00000000"/>
    <w:embedRegular r:id="rId2" w:fontKey="{AFD6986B-1467-4B46-BDD2-FFBD16ACD2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HAnsi">
    <w:altName w:val="Times New Roman"/>
    <w:panose1 w:val="00000000000000000000"/>
    <w:charset w:val="00"/>
    <w:family w:val="auto"/>
    <w:pitch w:val="default"/>
    <w:sig w:usb0="00000000" w:usb1="00000000" w:usb2="00000000" w:usb3="00000000" w:csb0="00000000" w:csb1="00000000"/>
  </w:font>
  <w:font w:name="minorEastAsia">
    <w:altName w:val="宋体"/>
    <w:panose1 w:val="00000000000000000000"/>
    <w:charset w:val="86"/>
    <w:family w:val="auto"/>
    <w:pitch w:val="default"/>
    <w:sig w:usb0="00000000" w:usb1="00000000" w:usb2="00000000" w:usb3="00000000" w:csb0="00000000" w:csb1="00000000"/>
    <w:embedRegular r:id="rId3" w:fontKey="{D56F0DF3-C4E9-4FCF-BE22-E052C78FC2ED}"/>
  </w:font>
  <w:font w:name="Cambria">
    <w:panose1 w:val="02040503050406030204"/>
    <w:charset w:val="00"/>
    <w:family w:val="roman"/>
    <w:pitch w:val="default"/>
    <w:sig w:usb0="E00006FF" w:usb1="420024FF" w:usb2="02000000" w:usb3="00000000" w:csb0="2000019F" w:csb1="00000000"/>
    <w:embedRegular r:id="rId4" w:fontKey="{E7B7BB60-B264-41E7-BE5C-6D03A8D221EA}"/>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CESI_FS_GB2312">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embedRegular r:id="rId5" w:fontKey="{C8B795D7-F626-4EAF-A2C5-1CBCD6B71CE5}"/>
  </w:font>
  <w:font w:name="宋体-简">
    <w:altName w:val="宋体"/>
    <w:panose1 w:val="02010800040101010101"/>
    <w:charset w:val="86"/>
    <w:family w:val="auto"/>
    <w:pitch w:val="default"/>
    <w:sig w:usb0="00000000" w:usb1="00000000" w:usb2="00000000" w:usb3="00000000" w:csb0="00040000" w:csb1="00000000"/>
    <w:embedRegular r:id="rId6" w:fontKey="{930BB166-F4C6-4A20-887E-D5D6C210C14A}"/>
  </w:font>
  <w:font w:name="PMingLiU">
    <w:altName w:val="Segoe Print"/>
    <w:panose1 w:val="00000000000000000000"/>
    <w:charset w:val="00"/>
    <w:family w:val="auto"/>
    <w:pitch w:val="default"/>
    <w:sig w:usb0="00000000" w:usb1="00000000" w:usb2="00000000" w:usb3="00000000" w:csb0="00000000" w:csb1="00000000"/>
    <w:embedRegular r:id="rId7" w:fontKey="{F7A05C3E-EE0C-4D67-8960-30CBB4974D7D}"/>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8" w:fontKey="{825B8336-6964-4B30-8A63-E68EAD855E6C}"/>
  </w:font>
  <w:font w:name="WPSEMBED12">
    <w:panose1 w:val="02000000000000000000"/>
    <w:charset w:val="86"/>
    <w:family w:val="auto"/>
    <w:pitch w:val="default"/>
    <w:sig w:usb0="00000001" w:usb1="08000000" w:usb2="00000000" w:usb3="00000000" w:csb0="00040000" w:csb1="00000000"/>
  </w:font>
  <w:font w:name="WPSEMBED13">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13630"/>
    <w:multiLevelType w:val="singleLevel"/>
    <w:tmpl w:val="A0A13630"/>
    <w:lvl w:ilvl="0" w:tentative="0">
      <w:start w:val="1"/>
      <w:numFmt w:val="chineseCounting"/>
      <w:suff w:val="nothing"/>
      <w:lvlText w:val="%1、"/>
      <w:lvlJc w:val="left"/>
      <w:rPr>
        <w:rFonts w:hint="eastAsia"/>
      </w:rPr>
    </w:lvl>
  </w:abstractNum>
  <w:abstractNum w:abstractNumId="1">
    <w:nsid w:val="AC797C61"/>
    <w:multiLevelType w:val="multilevel"/>
    <w:tmpl w:val="AC797C61"/>
    <w:lvl w:ilvl="0" w:tentative="0">
      <w:start w:val="1"/>
      <w:numFmt w:val="chineseCountingThousand"/>
      <w:lvlText w:val="%1、"/>
      <w:lvlJc w:val="left"/>
      <w:pPr>
        <w:ind w:left="462" w:hanging="462"/>
      </w:pPr>
    </w:lvl>
    <w:lvl w:ilvl="1" w:tentative="0">
      <w:start w:val="1"/>
      <w:numFmt w:val="decimal"/>
      <w:lvlText w:val="%2、"/>
      <w:lvlJc w:val="left"/>
      <w:pPr>
        <w:ind w:left="776" w:hanging="336"/>
      </w:pPr>
    </w:lvl>
    <w:lvl w:ilvl="2" w:tentative="0">
      <w:start w:val="1"/>
      <w:numFmt w:val="lowerLetter"/>
      <w:lvlText w:val="%3)"/>
      <w:lvlJc w:val="left"/>
      <w:pPr>
        <w:ind w:left="1216" w:hanging="336"/>
      </w:pPr>
    </w:lvl>
    <w:lvl w:ilvl="3" w:tentative="0">
      <w:start w:val="1"/>
      <w:numFmt w:val="chineseCountingThousand"/>
      <w:lvlText w:val="%4、"/>
      <w:lvlJc w:val="left"/>
      <w:pPr>
        <w:ind w:left="1782" w:hanging="462"/>
      </w:pPr>
    </w:lvl>
    <w:lvl w:ilvl="4" w:tentative="0">
      <w:start w:val="1"/>
      <w:numFmt w:val="decimal"/>
      <w:lvlText w:val="%5、"/>
      <w:lvlJc w:val="left"/>
      <w:pPr>
        <w:ind w:left="2096" w:hanging="336"/>
      </w:pPr>
    </w:lvl>
    <w:lvl w:ilvl="5" w:tentative="0">
      <w:start w:val="1"/>
      <w:numFmt w:val="lowerLetter"/>
      <w:lvlText w:val="%6)"/>
      <w:lvlJc w:val="left"/>
      <w:pPr>
        <w:ind w:left="2536" w:hanging="336"/>
      </w:pPr>
    </w:lvl>
    <w:lvl w:ilvl="6" w:tentative="0">
      <w:start w:val="1"/>
      <w:numFmt w:val="chineseCountingThousand"/>
      <w:lvlText w:val="%7、"/>
      <w:lvlJc w:val="left"/>
      <w:pPr>
        <w:ind w:left="3102" w:hanging="462"/>
      </w:pPr>
    </w:lvl>
    <w:lvl w:ilvl="7" w:tentative="0">
      <w:start w:val="1"/>
      <w:numFmt w:val="decimal"/>
      <w:lvlText w:val="%8、"/>
      <w:lvlJc w:val="left"/>
      <w:pPr>
        <w:ind w:left="3416" w:hanging="336"/>
      </w:pPr>
    </w:lvl>
    <w:lvl w:ilvl="8" w:tentative="0">
      <w:start w:val="1"/>
      <w:numFmt w:val="lowerLetter"/>
      <w:lvlText w:val="%9)"/>
      <w:lvlJc w:val="left"/>
      <w:pPr>
        <w:ind w:left="3856" w:hanging="336"/>
      </w:pPr>
    </w:lvl>
  </w:abstractNum>
  <w:abstractNum w:abstractNumId="2">
    <w:nsid w:val="CDF60B5D"/>
    <w:multiLevelType w:val="multilevel"/>
    <w:tmpl w:val="CDF60B5D"/>
    <w:lvl w:ilvl="0" w:tentative="0">
      <w:start w:val="1"/>
      <w:numFmt w:val="decimal"/>
      <w:lvlText w:val="%1."/>
      <w:lvlJc w:val="left"/>
      <w:pPr>
        <w:ind w:left="336" w:hanging="336"/>
      </w:pPr>
    </w:lvl>
    <w:lvl w:ilvl="1" w:tentative="0">
      <w:start w:val="1"/>
      <w:numFmt w:val="lowerLetter"/>
      <w:lvlText w:val="%2."/>
      <w:lvlJc w:val="left"/>
      <w:pPr>
        <w:ind w:left="776" w:hanging="336"/>
      </w:pPr>
    </w:lvl>
    <w:lvl w:ilvl="2" w:tentative="0">
      <w:start w:val="1"/>
      <w:numFmt w:val="lowerRoman"/>
      <w:lvlText w:val="%3."/>
      <w:lvlJc w:val="left"/>
      <w:pPr>
        <w:ind w:left="1216" w:hanging="336"/>
      </w:pPr>
    </w:lvl>
    <w:lvl w:ilvl="3" w:tentative="0">
      <w:start w:val="1"/>
      <w:numFmt w:val="decimal"/>
      <w:lvlText w:val="%4."/>
      <w:lvlJc w:val="left"/>
      <w:pPr>
        <w:ind w:left="1656" w:hanging="336"/>
      </w:pPr>
    </w:lvl>
    <w:lvl w:ilvl="4" w:tentative="0">
      <w:start w:val="1"/>
      <w:numFmt w:val="lowerLetter"/>
      <w:lvlText w:val="%5."/>
      <w:lvlJc w:val="left"/>
      <w:pPr>
        <w:ind w:left="2096" w:hanging="336"/>
      </w:pPr>
    </w:lvl>
    <w:lvl w:ilvl="5" w:tentative="0">
      <w:start w:val="1"/>
      <w:numFmt w:val="lowerRoman"/>
      <w:lvlText w:val="%6."/>
      <w:lvlJc w:val="left"/>
      <w:pPr>
        <w:ind w:left="2536" w:hanging="336"/>
      </w:pPr>
    </w:lvl>
    <w:lvl w:ilvl="6" w:tentative="0">
      <w:start w:val="1"/>
      <w:numFmt w:val="decimal"/>
      <w:lvlText w:val="%7."/>
      <w:lvlJc w:val="left"/>
      <w:pPr>
        <w:ind w:left="2976" w:hanging="336"/>
      </w:pPr>
    </w:lvl>
    <w:lvl w:ilvl="7" w:tentative="0">
      <w:start w:val="1"/>
      <w:numFmt w:val="lowerLetter"/>
      <w:lvlText w:val="%8."/>
      <w:lvlJc w:val="left"/>
      <w:pPr>
        <w:ind w:left="3416" w:hanging="336"/>
      </w:pPr>
    </w:lvl>
    <w:lvl w:ilvl="8" w:tentative="0">
      <w:start w:val="1"/>
      <w:numFmt w:val="lowerRoman"/>
      <w:lvlText w:val="%9."/>
      <w:lvlJc w:val="left"/>
      <w:pPr>
        <w:ind w:left="3856" w:hanging="336"/>
      </w:pPr>
    </w:lvl>
  </w:abstractNum>
  <w:abstractNum w:abstractNumId="3">
    <w:nsid w:val="F4FF9F64"/>
    <w:multiLevelType w:val="singleLevel"/>
    <w:tmpl w:val="F4FF9F64"/>
    <w:lvl w:ilvl="0" w:tentative="0">
      <w:start w:val="3"/>
      <w:numFmt w:val="chineseCounting"/>
      <w:suff w:val="nothing"/>
      <w:lvlText w:val="%1、"/>
      <w:lvlJc w:val="left"/>
      <w:rPr>
        <w:rFonts w:hint="eastAsia"/>
      </w:rPr>
    </w:lvl>
  </w:abstractNum>
  <w:abstractNum w:abstractNumId="4">
    <w:nsid w:val="09AABC9A"/>
    <w:multiLevelType w:val="singleLevel"/>
    <w:tmpl w:val="09AABC9A"/>
    <w:lvl w:ilvl="0" w:tentative="0">
      <w:start w:val="1"/>
      <w:numFmt w:val="decimal"/>
      <w:suff w:val="space"/>
      <w:lvlText w:val="%1)"/>
      <w:lvlJc w:val="left"/>
    </w:lvl>
  </w:abstractNum>
  <w:abstractNum w:abstractNumId="5">
    <w:nsid w:val="76FF08AC"/>
    <w:multiLevelType w:val="multilevel"/>
    <w:tmpl w:val="76FF08AC"/>
    <w:lvl w:ilvl="0" w:tentative="0">
      <w:start w:val="6"/>
      <w:numFmt w:val="decimal"/>
      <w:lvlText w:val="(%1)"/>
      <w:lvlJc w:val="left"/>
      <w:pPr>
        <w:ind w:left="896" w:hanging="336"/>
      </w:pPr>
    </w:lvl>
    <w:lvl w:ilvl="1" w:tentative="0">
      <w:start w:val="1"/>
      <w:numFmt w:val="lowerLetter"/>
      <w:lvlText w:val="%2."/>
      <w:lvlJc w:val="left"/>
      <w:pPr>
        <w:ind w:left="1336" w:hanging="336"/>
      </w:pPr>
    </w:lvl>
    <w:lvl w:ilvl="2" w:tentative="0">
      <w:start w:val="1"/>
      <w:numFmt w:val="lowerRoman"/>
      <w:lvlText w:val="%3."/>
      <w:lvlJc w:val="left"/>
      <w:pPr>
        <w:ind w:left="1776" w:hanging="336"/>
      </w:pPr>
    </w:lvl>
    <w:lvl w:ilvl="3" w:tentative="0">
      <w:start w:val="1"/>
      <w:numFmt w:val="decimal"/>
      <w:lvlText w:val="(%4)"/>
      <w:lvlJc w:val="left"/>
      <w:pPr>
        <w:ind w:left="2216" w:hanging="336"/>
      </w:pPr>
    </w:lvl>
    <w:lvl w:ilvl="4" w:tentative="0">
      <w:start w:val="1"/>
      <w:numFmt w:val="lowerLetter"/>
      <w:lvlText w:val="%5."/>
      <w:lvlJc w:val="left"/>
      <w:pPr>
        <w:ind w:left="2656" w:hanging="336"/>
      </w:pPr>
    </w:lvl>
    <w:lvl w:ilvl="5" w:tentative="0">
      <w:start w:val="1"/>
      <w:numFmt w:val="lowerRoman"/>
      <w:lvlText w:val="%6."/>
      <w:lvlJc w:val="left"/>
      <w:pPr>
        <w:ind w:left="3096" w:hanging="336"/>
      </w:pPr>
    </w:lvl>
    <w:lvl w:ilvl="6" w:tentative="0">
      <w:start w:val="1"/>
      <w:numFmt w:val="decimal"/>
      <w:lvlText w:val="(%7)"/>
      <w:lvlJc w:val="left"/>
      <w:pPr>
        <w:ind w:left="3536" w:hanging="336"/>
      </w:pPr>
    </w:lvl>
    <w:lvl w:ilvl="7" w:tentative="0">
      <w:start w:val="1"/>
      <w:numFmt w:val="lowerLetter"/>
      <w:lvlText w:val="%8."/>
      <w:lvlJc w:val="left"/>
      <w:pPr>
        <w:ind w:left="3976" w:hanging="336"/>
      </w:pPr>
    </w:lvl>
    <w:lvl w:ilvl="8" w:tentative="0">
      <w:start w:val="1"/>
      <w:numFmt w:val="lowerRoman"/>
      <w:lvlText w:val="%9."/>
      <w:lvlJc w:val="left"/>
      <w:pPr>
        <w:ind w:left="4416" w:hanging="336"/>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4NmUzY2I4OTlhNTFjZWRiZWU5MjVmOGMzMTc5OGEifQ=="/>
  </w:docVars>
  <w:rsids>
    <w:rsidRoot w:val="00E023A0"/>
    <w:rsid w:val="0004013F"/>
    <w:rsid w:val="00046917"/>
    <w:rsid w:val="00092F99"/>
    <w:rsid w:val="000D5D79"/>
    <w:rsid w:val="000D7A29"/>
    <w:rsid w:val="001852B9"/>
    <w:rsid w:val="001A10AD"/>
    <w:rsid w:val="002C1B45"/>
    <w:rsid w:val="003A33E1"/>
    <w:rsid w:val="003C0029"/>
    <w:rsid w:val="003E01E8"/>
    <w:rsid w:val="00675B36"/>
    <w:rsid w:val="00680AC3"/>
    <w:rsid w:val="007318C7"/>
    <w:rsid w:val="007452DF"/>
    <w:rsid w:val="00761088"/>
    <w:rsid w:val="008D3FB7"/>
    <w:rsid w:val="008D6BB0"/>
    <w:rsid w:val="008F46E0"/>
    <w:rsid w:val="00973ED4"/>
    <w:rsid w:val="00A10845"/>
    <w:rsid w:val="00A367F8"/>
    <w:rsid w:val="00A951C4"/>
    <w:rsid w:val="00AD7924"/>
    <w:rsid w:val="00B92BCB"/>
    <w:rsid w:val="00C51851"/>
    <w:rsid w:val="00E023A0"/>
    <w:rsid w:val="00FF56BA"/>
    <w:rsid w:val="015B6D94"/>
    <w:rsid w:val="015E4AD6"/>
    <w:rsid w:val="017F5C81"/>
    <w:rsid w:val="019D55FE"/>
    <w:rsid w:val="03BE185C"/>
    <w:rsid w:val="067D77AC"/>
    <w:rsid w:val="06DA4BFF"/>
    <w:rsid w:val="085207C5"/>
    <w:rsid w:val="0870581B"/>
    <w:rsid w:val="0C7659B1"/>
    <w:rsid w:val="0C782EF0"/>
    <w:rsid w:val="0CB101B0"/>
    <w:rsid w:val="0D7116ED"/>
    <w:rsid w:val="0F56503F"/>
    <w:rsid w:val="10413A5E"/>
    <w:rsid w:val="10E01064"/>
    <w:rsid w:val="12655CC4"/>
    <w:rsid w:val="126E45A4"/>
    <w:rsid w:val="12902616"/>
    <w:rsid w:val="13655850"/>
    <w:rsid w:val="15CC605B"/>
    <w:rsid w:val="161B7A15"/>
    <w:rsid w:val="17D1042D"/>
    <w:rsid w:val="17F70830"/>
    <w:rsid w:val="18574301"/>
    <w:rsid w:val="18CD6371"/>
    <w:rsid w:val="1A4C32C6"/>
    <w:rsid w:val="1A734CF7"/>
    <w:rsid w:val="1B3E5305"/>
    <w:rsid w:val="1CDA2E0B"/>
    <w:rsid w:val="1CEF0458"/>
    <w:rsid w:val="1D352737"/>
    <w:rsid w:val="1E641526"/>
    <w:rsid w:val="1F996889"/>
    <w:rsid w:val="224A0A33"/>
    <w:rsid w:val="24AF2DCF"/>
    <w:rsid w:val="259A24F6"/>
    <w:rsid w:val="29D51476"/>
    <w:rsid w:val="2ABA24CE"/>
    <w:rsid w:val="2AF94DA4"/>
    <w:rsid w:val="2B146082"/>
    <w:rsid w:val="2B597E59"/>
    <w:rsid w:val="2BF832AE"/>
    <w:rsid w:val="2C504E98"/>
    <w:rsid w:val="2C7D1A05"/>
    <w:rsid w:val="2CCA200A"/>
    <w:rsid w:val="2E467984"/>
    <w:rsid w:val="2FF3708A"/>
    <w:rsid w:val="307A24E3"/>
    <w:rsid w:val="31282327"/>
    <w:rsid w:val="316513E5"/>
    <w:rsid w:val="328A6C2A"/>
    <w:rsid w:val="32A41A99"/>
    <w:rsid w:val="32A71BF8"/>
    <w:rsid w:val="33446DD8"/>
    <w:rsid w:val="337C47C4"/>
    <w:rsid w:val="35C72C49"/>
    <w:rsid w:val="374B4BD9"/>
    <w:rsid w:val="374C2700"/>
    <w:rsid w:val="37F963E3"/>
    <w:rsid w:val="38E057F5"/>
    <w:rsid w:val="3AC151B3"/>
    <w:rsid w:val="3B385475"/>
    <w:rsid w:val="3BC4735F"/>
    <w:rsid w:val="3BDA414B"/>
    <w:rsid w:val="3C0812EB"/>
    <w:rsid w:val="3D7A7FC6"/>
    <w:rsid w:val="3ECE1068"/>
    <w:rsid w:val="3F3D18AF"/>
    <w:rsid w:val="402611B6"/>
    <w:rsid w:val="42132798"/>
    <w:rsid w:val="42156510"/>
    <w:rsid w:val="4269685C"/>
    <w:rsid w:val="44D108E9"/>
    <w:rsid w:val="4577303D"/>
    <w:rsid w:val="45E05087"/>
    <w:rsid w:val="46026DAB"/>
    <w:rsid w:val="47E31939"/>
    <w:rsid w:val="4CFD02CC"/>
    <w:rsid w:val="4E9764FE"/>
    <w:rsid w:val="50EF617E"/>
    <w:rsid w:val="51E24A36"/>
    <w:rsid w:val="524F15CA"/>
    <w:rsid w:val="52CB49C9"/>
    <w:rsid w:val="55CF47D0"/>
    <w:rsid w:val="56090805"/>
    <w:rsid w:val="56CA56C3"/>
    <w:rsid w:val="57996E43"/>
    <w:rsid w:val="59B368E2"/>
    <w:rsid w:val="59E940B2"/>
    <w:rsid w:val="5AC17227"/>
    <w:rsid w:val="5BA32ED4"/>
    <w:rsid w:val="5BDB5C7C"/>
    <w:rsid w:val="5C5B6DBD"/>
    <w:rsid w:val="5C62014C"/>
    <w:rsid w:val="5CB32C58"/>
    <w:rsid w:val="5CB564CD"/>
    <w:rsid w:val="5CCC2DB0"/>
    <w:rsid w:val="5E6F6B50"/>
    <w:rsid w:val="5EFD8ECD"/>
    <w:rsid w:val="601259E5"/>
    <w:rsid w:val="608A1A1F"/>
    <w:rsid w:val="60EA0710"/>
    <w:rsid w:val="61514530"/>
    <w:rsid w:val="61A60ADB"/>
    <w:rsid w:val="622F0AD0"/>
    <w:rsid w:val="63493E13"/>
    <w:rsid w:val="64760C38"/>
    <w:rsid w:val="65A96DEB"/>
    <w:rsid w:val="65D04378"/>
    <w:rsid w:val="66644AC0"/>
    <w:rsid w:val="666B40A1"/>
    <w:rsid w:val="67DEBE4F"/>
    <w:rsid w:val="68703BF0"/>
    <w:rsid w:val="6A1567FD"/>
    <w:rsid w:val="6C092392"/>
    <w:rsid w:val="6C7F1CAC"/>
    <w:rsid w:val="6DD10C8D"/>
    <w:rsid w:val="6DE210EC"/>
    <w:rsid w:val="6F524050"/>
    <w:rsid w:val="711374C5"/>
    <w:rsid w:val="712D6B22"/>
    <w:rsid w:val="71A94A05"/>
    <w:rsid w:val="71AC3EEB"/>
    <w:rsid w:val="748A603A"/>
    <w:rsid w:val="74FD4A5E"/>
    <w:rsid w:val="75271ADB"/>
    <w:rsid w:val="76770854"/>
    <w:rsid w:val="777D2D08"/>
    <w:rsid w:val="77F739E6"/>
    <w:rsid w:val="795B7FA5"/>
    <w:rsid w:val="79C142AC"/>
    <w:rsid w:val="79E87A8A"/>
    <w:rsid w:val="7A884DCA"/>
    <w:rsid w:val="7A97325F"/>
    <w:rsid w:val="7AE446F6"/>
    <w:rsid w:val="7B5A6766"/>
    <w:rsid w:val="7D446FFC"/>
    <w:rsid w:val="7E066731"/>
    <w:rsid w:val="7E1D1CCD"/>
    <w:rsid w:val="7E875833"/>
    <w:rsid w:val="7F5B2AAD"/>
    <w:rsid w:val="7FF79AF9"/>
    <w:rsid w:val="9DFFD47E"/>
    <w:rsid w:val="ABBF1BF1"/>
    <w:rsid w:val="BD6DCC34"/>
    <w:rsid w:val="F8FBF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minorHAnsi" w:hAnsi="minorHAnsi" w:eastAsia="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0" w:beforeAutospacing="1" w:after="0" w:afterAutospacing="1"/>
      <w:outlineLvl w:val="3"/>
    </w:pPr>
    <w:rPr>
      <w:rFonts w:hint="eastAsia" w:ascii="宋体" w:hAnsi="宋体" w:eastAsia="宋体" w:cs="Times New Roman"/>
      <w:b/>
      <w:bCs/>
      <w:kern w:val="0"/>
      <w:sz w:val="24"/>
      <w:szCs w:val="24"/>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widowControl/>
      <w:spacing w:before="180" w:after="180"/>
      <w:jc w:val="left"/>
    </w:pPr>
    <w:rPr>
      <w:rFonts w:ascii="Cambria" w:hAnsi="Cambria" w:eastAsia="宋体" w:cs="Times New Roman"/>
      <w:kern w:val="0"/>
      <w:lang w:eastAsia="en-US"/>
    </w:rPr>
  </w:style>
  <w:style w:type="paragraph" w:styleId="7">
    <w:name w:val="footer"/>
    <w:basedOn w:val="1"/>
    <w:link w:val="17"/>
    <w:qFormat/>
    <w:uiPriority w:val="0"/>
    <w:pPr>
      <w:tabs>
        <w:tab w:val="center" w:pos="4153"/>
        <w:tab w:val="right" w:pos="8306"/>
      </w:tabs>
      <w:spacing w:line="240" w:lineRule="auto"/>
    </w:pPr>
    <w:rPr>
      <w:sz w:val="18"/>
      <w:szCs w:val="18"/>
    </w:rPr>
  </w:style>
  <w:style w:type="paragraph" w:styleId="8">
    <w:name w:val="header"/>
    <w:basedOn w:val="1"/>
    <w:link w:val="19"/>
    <w:qFormat/>
    <w:uiPriority w:val="0"/>
    <w:pPr>
      <w:tabs>
        <w:tab w:val="center" w:pos="4153"/>
        <w:tab w:val="right" w:pos="8306"/>
      </w:tabs>
      <w:spacing w:line="240" w:lineRule="auto"/>
      <w:jc w:val="center"/>
    </w:pPr>
    <w:rPr>
      <w:sz w:val="18"/>
      <w:szCs w:val="18"/>
    </w:rPr>
  </w:style>
  <w:style w:type="paragraph" w:styleId="9">
    <w:name w:val="Normal (Web)"/>
    <w:basedOn w:val="1"/>
    <w:qFormat/>
    <w:uiPriority w:val="0"/>
    <w:pPr>
      <w:spacing w:before="0" w:beforeAutospacing="1" w:after="0" w:afterAutospacing="1"/>
    </w:pPr>
    <w:rPr>
      <w:rFonts w:cs="Times New Roman"/>
      <w:kern w:val="0"/>
      <w:sz w:val="24"/>
    </w:rPr>
  </w:style>
  <w:style w:type="paragraph" w:styleId="10">
    <w:name w:val="Title"/>
    <w:basedOn w:val="1"/>
    <w:next w:val="1"/>
    <w:qFormat/>
    <w:uiPriority w:val="9"/>
    <w:pPr>
      <w:keepNext/>
      <w:keepLines/>
      <w:spacing w:before="0" w:after="0" w:line="408" w:lineRule="auto"/>
      <w:jc w:val="center"/>
      <w:outlineLvl w:val="0"/>
    </w:pPr>
    <w:rPr>
      <w:b/>
      <w:bCs/>
      <w:color w:val="1A1A1A"/>
      <w:sz w:val="48"/>
      <w:szCs w:val="48"/>
    </w:rPr>
  </w:style>
  <w:style w:type="table" w:styleId="12">
    <w:name w:val="Table Grid"/>
    <w:basedOn w:val="11"/>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4">
    <w:name w:val="Strong"/>
    <w:basedOn w:val="13"/>
    <w:qFormat/>
    <w:uiPriority w:val="0"/>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font31"/>
    <w:qFormat/>
    <w:uiPriority w:val="0"/>
    <w:rPr>
      <w:rFonts w:hint="eastAsia" w:ascii="宋体" w:hAnsi="宋体" w:eastAsia="宋体" w:cs="宋体"/>
      <w:color w:val="000000"/>
      <w:sz w:val="20"/>
      <w:szCs w:val="20"/>
      <w:u w:val="none"/>
    </w:rPr>
  </w:style>
  <w:style w:type="character" w:customStyle="1" w:styleId="17">
    <w:name w:val="页脚 字符"/>
    <w:basedOn w:val="13"/>
    <w:link w:val="7"/>
    <w:qFormat/>
    <w:uiPriority w:val="0"/>
    <w:rPr>
      <w:rFonts w:ascii="minorHAnsi" w:hAnsi="minorHAnsi" w:eastAsia="minorEastAsia" w:cstheme="minorBidi"/>
      <w:color w:val="333333"/>
      <w:kern w:val="2"/>
      <w:sz w:val="18"/>
      <w:szCs w:val="18"/>
    </w:rPr>
  </w:style>
  <w:style w:type="character" w:customStyle="1" w:styleId="18">
    <w:name w:val="font41"/>
    <w:basedOn w:val="13"/>
    <w:qFormat/>
    <w:uiPriority w:val="0"/>
    <w:rPr>
      <w:rFonts w:hint="eastAsia" w:ascii="等线" w:hAnsi="等线" w:eastAsia="等线" w:cs="等线"/>
      <w:color w:val="000000"/>
      <w:sz w:val="20"/>
      <w:szCs w:val="20"/>
      <w:u w:val="none"/>
    </w:rPr>
  </w:style>
  <w:style w:type="character" w:customStyle="1" w:styleId="19">
    <w:name w:val="页眉 字符"/>
    <w:basedOn w:val="13"/>
    <w:link w:val="8"/>
    <w:qFormat/>
    <w:uiPriority w:val="0"/>
    <w:rPr>
      <w:rFonts w:ascii="minorHAnsi" w:hAnsi="minorHAnsi" w:eastAsia="minorEastAsia" w:cstheme="minorBidi"/>
      <w:color w:val="333333"/>
      <w:kern w:val="2"/>
      <w:sz w:val="18"/>
      <w:szCs w:val="18"/>
    </w:rPr>
  </w:style>
  <w:style w:type="paragraph" w:styleId="20">
    <w:name w:val="List Paragraph"/>
    <w:basedOn w:val="1"/>
    <w:qFormat/>
    <w:uiPriority w:val="34"/>
    <w:pPr>
      <w:ind w:firstLine="420" w:firstLineChars="200"/>
    </w:pPr>
  </w:style>
  <w:style w:type="paragraph" w:customStyle="1" w:styleId="21">
    <w:name w:val="Body text|1"/>
    <w:basedOn w:val="1"/>
    <w:qFormat/>
    <w:uiPriority w:val="0"/>
    <w:pPr>
      <w:spacing w:line="480" w:lineRule="auto"/>
      <w:ind w:firstLine="400"/>
      <w:jc w:val="left"/>
    </w:pPr>
    <w:rPr>
      <w:rFonts w:ascii="宋体" w:hAnsi="宋体" w:eastAsia="宋体" w:cs="宋体"/>
      <w:sz w:val="20"/>
      <w:szCs w:val="20"/>
      <w:lang w:val="zh-TW" w:eastAsia="zh-TW" w:bidi="zh-TW"/>
    </w:rPr>
  </w:style>
  <w:style w:type="paragraph" w:customStyle="1" w:styleId="22">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7602</Words>
  <Characters>7924</Characters>
  <TotalTime>9</TotalTime>
  <ScaleCrop>false</ScaleCrop>
  <LinksUpToDate>false</LinksUpToDate>
  <CharactersWithSpaces>8373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2025-08-14T23:55:00Z</dcterms:created>
  <dc:creator>Data</dc:creator>
  <cp:lastModifiedBy>姚爽</cp:lastModifiedBy>
  <dcterms:modified xsi:type="dcterms:W3CDTF">2025-11-18T13:21:16Z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0D98C6BE77F6491496ACCC2DC50A9D31_13</vt:lpwstr>
  </property>
  <property fmtid="{D5CDD505-2E9C-101B-9397-08002B2CF9AE}" pid="4" name="KSOTemplateDocerSaveRecord">
    <vt:lpwstr>eyJoZGlkIjoiZWE5Y2YwYmY4YmJiMzdlMDc2M2RmN2M0NjA1OTU3NmUiLCJ1c2VySWQiOiIxNDc0MzE3NjQ5In0=</vt:lpwstr>
  </property>
</Properties>
</file>